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webSettings.xml" ContentType="application/vnd.openxmlformats-officedocument.wordprocessingml.webSetting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7B31" w14:textId="4AF08A45" w:rsidR="00A65F5F" w:rsidRDefault="00A65F5F" w:rsidP="00A65F5F">
      <w:pPr>
        <w:rPr>
          <w:b/>
          <w:sz w:val="28"/>
        </w:rPr>
      </w:pPr>
    </w:p>
    <w:p w14:paraId="2DCEE1FD" w14:textId="77777777" w:rsidR="00A65F5F" w:rsidRDefault="00A65F5F" w:rsidP="00A65F5F">
      <w:pPr>
        <w:rPr>
          <w:b/>
          <w:sz w:val="28"/>
        </w:rPr>
      </w:pPr>
    </w:p>
    <w:p w14:paraId="74C082EB" w14:textId="77777777" w:rsidR="00A65F5F" w:rsidRDefault="00A65F5F" w:rsidP="00A65F5F">
      <w:pPr>
        <w:rPr>
          <w:b/>
          <w:sz w:val="28"/>
        </w:rPr>
      </w:pPr>
    </w:p>
    <w:p w14:paraId="186B73AD" w14:textId="77777777" w:rsidR="00A65F5F" w:rsidRDefault="00A65F5F" w:rsidP="00A65F5F">
      <w:pPr>
        <w:rPr>
          <w:b/>
          <w:sz w:val="28"/>
        </w:rPr>
      </w:pPr>
    </w:p>
    <w:p w14:paraId="6D416287" w14:textId="77777777" w:rsidR="00A65F5F" w:rsidRDefault="00A65F5F" w:rsidP="00A65F5F">
      <w:pPr>
        <w:rPr>
          <w:b/>
          <w:sz w:val="28"/>
        </w:rPr>
      </w:pPr>
    </w:p>
    <w:p w14:paraId="006DB51B" w14:textId="77777777" w:rsidR="00A65F5F" w:rsidRDefault="00A65F5F" w:rsidP="00A65F5F">
      <w:pPr>
        <w:tabs>
          <w:tab w:val="left" w:pos="7754"/>
        </w:tabs>
        <w:rPr>
          <w:b/>
          <w:sz w:val="28"/>
        </w:rPr>
      </w:pPr>
      <w:r>
        <w:rPr>
          <w:b/>
          <w:sz w:val="28"/>
        </w:rPr>
        <w:tab/>
      </w:r>
    </w:p>
    <w:p w14:paraId="0BC97B31" w14:textId="77777777" w:rsidR="00A65F5F" w:rsidRDefault="00A65F5F" w:rsidP="00A65F5F">
      <w:pPr>
        <w:jc w:val="center"/>
        <w:rPr>
          <w:b/>
          <w:sz w:val="28"/>
        </w:rPr>
      </w:pPr>
      <w:r w:rsidRPr="00B25514">
        <w:rPr>
          <w:b/>
          <w:noProof/>
          <w:sz w:val="28"/>
          <w:lang w:val="es-CR" w:eastAsia="es-CR"/>
        </w:rPr>
        <w:drawing>
          <wp:inline distT="0" distB="0" distL="0" distR="0" wp14:anchorId="0196645D" wp14:editId="0194E61B">
            <wp:extent cx="1609090" cy="1609090"/>
            <wp:effectExtent l="0" t="0" r="0" b="0"/>
            <wp:docPr id="1" name="Picture 1" descr="logo_ice_fondo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ce_fondo_az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4B87CAFC" w14:textId="77777777" w:rsidR="00A65F5F" w:rsidRDefault="00A65F5F" w:rsidP="00A65F5F">
      <w:pPr>
        <w:rPr>
          <w:b/>
          <w:sz w:val="28"/>
        </w:rPr>
      </w:pPr>
    </w:p>
    <w:p w14:paraId="33831621" w14:textId="77777777" w:rsidR="00A65F5F" w:rsidRDefault="00A65F5F" w:rsidP="00A65F5F">
      <w:pPr>
        <w:rPr>
          <w:b/>
          <w:sz w:val="28"/>
        </w:rPr>
      </w:pPr>
    </w:p>
    <w:p w14:paraId="46F4B36C" w14:textId="77777777" w:rsidR="00A65F5F" w:rsidRDefault="00A65F5F" w:rsidP="00A65F5F">
      <w:pPr>
        <w:rPr>
          <w:b/>
          <w:sz w:val="28"/>
        </w:rPr>
      </w:pPr>
    </w:p>
    <w:p w14:paraId="3494225B" w14:textId="77777777" w:rsidR="00A65F5F" w:rsidRDefault="00A65F5F" w:rsidP="00A65F5F">
      <w:pPr>
        <w:jc w:val="center"/>
        <w:rPr>
          <w:b/>
          <w:sz w:val="28"/>
        </w:rPr>
      </w:pPr>
    </w:p>
    <w:p w14:paraId="31F6DB05" w14:textId="77777777" w:rsidR="00A65F5F" w:rsidRDefault="00A65F5F" w:rsidP="00A65F5F">
      <w:pPr>
        <w:rPr>
          <w:b/>
          <w:sz w:val="28"/>
        </w:rPr>
      </w:pPr>
    </w:p>
    <w:p w14:paraId="663D201D" w14:textId="77777777" w:rsidR="00A65F5F" w:rsidRDefault="00A65F5F" w:rsidP="00A65F5F">
      <w:pPr>
        <w:rPr>
          <w:b/>
          <w:sz w:val="28"/>
        </w:rPr>
      </w:pPr>
    </w:p>
    <w:p w14:paraId="5205D572" w14:textId="77777777" w:rsidR="00A65F5F" w:rsidRDefault="00A65F5F" w:rsidP="00A65F5F">
      <w:pPr>
        <w:rPr>
          <w:b/>
          <w:sz w:val="28"/>
        </w:rPr>
      </w:pPr>
    </w:p>
    <w:p w14:paraId="44DA593F" w14:textId="77777777" w:rsidR="00A65F5F" w:rsidRPr="005F6EE3" w:rsidRDefault="00A65F5F" w:rsidP="00A65F5F">
      <w:pPr>
        <w:jc w:val="center"/>
        <w:rPr>
          <w:rFonts w:ascii="Calibri" w:hAnsi="Calibri"/>
          <w:b/>
          <w:sz w:val="44"/>
          <w:szCs w:val="44"/>
        </w:rPr>
      </w:pPr>
      <w:r w:rsidRPr="005F6EE3">
        <w:rPr>
          <w:rFonts w:ascii="Calibri" w:hAnsi="Calibri"/>
          <w:b/>
          <w:sz w:val="44"/>
          <w:szCs w:val="44"/>
        </w:rPr>
        <w:t>PROSPECTO DE INVERSIÓN</w:t>
      </w:r>
    </w:p>
    <w:p w14:paraId="079E8FC5" w14:textId="77777777" w:rsidR="00A65F5F" w:rsidRDefault="00A65F5F" w:rsidP="00A65F5F">
      <w:pPr>
        <w:rPr>
          <w:b/>
          <w:sz w:val="28"/>
        </w:rPr>
      </w:pPr>
    </w:p>
    <w:p w14:paraId="68FE2FC9" w14:textId="77777777" w:rsidR="00A65F5F" w:rsidRDefault="00A65F5F" w:rsidP="00A65F5F">
      <w:pPr>
        <w:rPr>
          <w:b/>
          <w:sz w:val="28"/>
        </w:rPr>
      </w:pPr>
    </w:p>
    <w:p w14:paraId="7A7C2D33" w14:textId="77777777" w:rsidR="00A65F5F" w:rsidRDefault="00A65F5F" w:rsidP="00A65F5F">
      <w:pPr>
        <w:rPr>
          <w:b/>
          <w:sz w:val="28"/>
        </w:rPr>
      </w:pPr>
    </w:p>
    <w:p w14:paraId="08DEEF0C" w14:textId="77777777" w:rsidR="00A65F5F" w:rsidRDefault="00A65F5F" w:rsidP="00A65F5F">
      <w:pPr>
        <w:rPr>
          <w:b/>
          <w:sz w:val="28"/>
        </w:rPr>
      </w:pPr>
    </w:p>
    <w:p w14:paraId="6B855A07" w14:textId="77777777" w:rsidR="00A65F5F" w:rsidRDefault="00A65F5F" w:rsidP="00A65F5F">
      <w:pPr>
        <w:rPr>
          <w:b/>
          <w:sz w:val="28"/>
        </w:rPr>
      </w:pPr>
    </w:p>
    <w:p w14:paraId="75DBA0FF" w14:textId="77777777" w:rsidR="00A65F5F" w:rsidRDefault="00A65F5F" w:rsidP="00A65F5F">
      <w:pPr>
        <w:rPr>
          <w:b/>
          <w:sz w:val="28"/>
        </w:rPr>
      </w:pPr>
    </w:p>
    <w:p w14:paraId="48AA0CEA" w14:textId="7E786C3B" w:rsidR="00A65F5F" w:rsidRDefault="00E25DC6" w:rsidP="00A65F5F">
      <w:pPr>
        <w:jc w:val="center"/>
        <w:rPr>
          <w:b/>
          <w:sz w:val="40"/>
        </w:rPr>
      </w:pPr>
      <w:r>
        <w:rPr>
          <w:b/>
          <w:sz w:val="40"/>
        </w:rPr>
        <w:t>Dic</w:t>
      </w:r>
      <w:r w:rsidR="00A51CC3">
        <w:rPr>
          <w:b/>
          <w:sz w:val="40"/>
        </w:rPr>
        <w:t>iembre</w:t>
      </w:r>
      <w:r w:rsidR="008C019B">
        <w:rPr>
          <w:b/>
          <w:sz w:val="40"/>
        </w:rPr>
        <w:t xml:space="preserve"> </w:t>
      </w:r>
      <w:r w:rsidR="00F8773B">
        <w:rPr>
          <w:b/>
          <w:sz w:val="40"/>
        </w:rPr>
        <w:t>202</w:t>
      </w:r>
      <w:r w:rsidR="00B10976">
        <w:rPr>
          <w:b/>
          <w:sz w:val="40"/>
        </w:rPr>
        <w:t>3</w:t>
      </w:r>
    </w:p>
    <w:p w14:paraId="3789F2B7" w14:textId="77777777" w:rsidR="00D45D17" w:rsidRDefault="00D45D17" w:rsidP="00A65F5F">
      <w:pPr>
        <w:jc w:val="center"/>
        <w:rPr>
          <w:b/>
          <w:sz w:val="40"/>
        </w:rPr>
      </w:pPr>
    </w:p>
    <w:p w14:paraId="74624818" w14:textId="77777777" w:rsidR="00D45D17" w:rsidRDefault="00D45D17" w:rsidP="00A65F5F">
      <w:pPr>
        <w:jc w:val="center"/>
        <w:rPr>
          <w:b/>
          <w:sz w:val="40"/>
        </w:rPr>
      </w:pPr>
    </w:p>
    <w:p w14:paraId="3EBE38C3" w14:textId="77777777" w:rsidR="00A65F5F" w:rsidRDefault="00A65F5F" w:rsidP="00A65F5F">
      <w:pPr>
        <w:jc w:val="center"/>
        <w:rPr>
          <w:b/>
          <w:sz w:val="40"/>
          <w:szCs w:val="40"/>
        </w:rPr>
      </w:pPr>
    </w:p>
    <w:p w14:paraId="22945CD2" w14:textId="77777777" w:rsidR="00A65F5F" w:rsidRDefault="00A65F5F" w:rsidP="00A65F5F">
      <w:pPr>
        <w:jc w:val="center"/>
        <w:rPr>
          <w:b/>
          <w:sz w:val="40"/>
          <w:szCs w:val="40"/>
        </w:rPr>
      </w:pPr>
      <w:r w:rsidRPr="00B25514">
        <w:rPr>
          <w:b/>
          <w:noProof/>
          <w:sz w:val="40"/>
          <w:szCs w:val="40"/>
          <w:lang w:val="es-CR" w:eastAsia="es-CR"/>
        </w:rPr>
        <w:lastRenderedPageBreak/>
        <w:drawing>
          <wp:inline distT="0" distB="0" distL="0" distR="0" wp14:anchorId="484C54A1" wp14:editId="33577A05">
            <wp:extent cx="1016635" cy="1016635"/>
            <wp:effectExtent l="0" t="0" r="0" b="0"/>
            <wp:docPr id="2" name="Picture 2" descr="logo_ice_fondo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e_fondo_az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30B99ECF" w14:textId="77777777" w:rsidR="00A65F5F" w:rsidRDefault="00A65F5F" w:rsidP="00A65F5F">
      <w:pPr>
        <w:jc w:val="center"/>
        <w:rPr>
          <w:b/>
          <w:sz w:val="40"/>
          <w:szCs w:val="40"/>
        </w:rPr>
      </w:pPr>
    </w:p>
    <w:p w14:paraId="5C0E3FB8" w14:textId="77777777" w:rsidR="00A65F5F" w:rsidRPr="008F5135" w:rsidRDefault="00A65F5F" w:rsidP="00A65F5F">
      <w:pPr>
        <w:jc w:val="center"/>
        <w:rPr>
          <w:rFonts w:ascii="Calibri" w:hAnsi="Calibri"/>
          <w:b/>
          <w:sz w:val="40"/>
          <w:szCs w:val="40"/>
        </w:rPr>
      </w:pPr>
      <w:r w:rsidRPr="008F5135">
        <w:rPr>
          <w:rFonts w:ascii="Calibri" w:hAnsi="Calibri"/>
          <w:b/>
          <w:sz w:val="40"/>
          <w:szCs w:val="40"/>
        </w:rPr>
        <w:t>Prospecto de Inversión</w:t>
      </w:r>
    </w:p>
    <w:p w14:paraId="29AF4B7D" w14:textId="77777777" w:rsidR="00A65F5F" w:rsidRPr="00207CB8" w:rsidRDefault="00A65F5F" w:rsidP="00A65F5F">
      <w:pPr>
        <w:jc w:val="center"/>
        <w:rPr>
          <w:rFonts w:ascii="Calibri" w:hAnsi="Calibri"/>
          <w:b/>
          <w:sz w:val="40"/>
          <w:szCs w:val="40"/>
        </w:rPr>
      </w:pPr>
      <w:r w:rsidRPr="008F5135">
        <w:rPr>
          <w:rFonts w:ascii="Calibri" w:hAnsi="Calibri"/>
          <w:b/>
          <w:sz w:val="40"/>
          <w:szCs w:val="40"/>
        </w:rPr>
        <w:t>INSTITUTO COSTARRICENSE DE ELECTRICIDAD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3540"/>
      </w:tblGrid>
      <w:tr w:rsidR="00A65F5F" w:rsidRPr="006729B9" w14:paraId="4565F6AA" w14:textId="77777777" w:rsidTr="00E92822">
        <w:trPr>
          <w:jc w:val="center"/>
        </w:trPr>
        <w:tc>
          <w:tcPr>
            <w:tcW w:w="4031" w:type="dxa"/>
            <w:tcBorders>
              <w:top w:val="nil"/>
              <w:left w:val="nil"/>
              <w:right w:val="nil"/>
            </w:tcBorders>
          </w:tcPr>
          <w:p w14:paraId="44EFC57D" w14:textId="77777777" w:rsidR="00A65F5F" w:rsidRPr="006729B9" w:rsidRDefault="00A65F5F" w:rsidP="00E92822">
            <w:pPr>
              <w:jc w:val="center"/>
              <w:rPr>
                <w:b/>
              </w:rPr>
            </w:pPr>
            <w:r w:rsidRPr="006729B9">
              <w:rPr>
                <w:b/>
              </w:rPr>
              <w:t>Tipo</w:t>
            </w:r>
          </w:p>
        </w:tc>
        <w:tc>
          <w:tcPr>
            <w:tcW w:w="3540" w:type="dxa"/>
            <w:tcBorders>
              <w:top w:val="nil"/>
              <w:left w:val="nil"/>
              <w:right w:val="nil"/>
            </w:tcBorders>
          </w:tcPr>
          <w:p w14:paraId="3D782666" w14:textId="77777777" w:rsidR="00A65F5F" w:rsidRPr="006729B9" w:rsidRDefault="00A65F5F" w:rsidP="00E92822">
            <w:pPr>
              <w:jc w:val="center"/>
              <w:rPr>
                <w:b/>
              </w:rPr>
            </w:pPr>
            <w:r w:rsidRPr="006729B9">
              <w:rPr>
                <w:b/>
              </w:rPr>
              <w:t>Monto de la emisión</w:t>
            </w:r>
          </w:p>
        </w:tc>
      </w:tr>
      <w:tr w:rsidR="00A65F5F" w:rsidRPr="006729B9" w14:paraId="1C10F7D7" w14:textId="77777777" w:rsidTr="00E92822">
        <w:trPr>
          <w:jc w:val="center"/>
        </w:trPr>
        <w:tc>
          <w:tcPr>
            <w:tcW w:w="4031" w:type="dxa"/>
          </w:tcPr>
          <w:p w14:paraId="73B4A8E7" w14:textId="77777777" w:rsidR="00A65F5F" w:rsidRPr="006729B9" w:rsidRDefault="00A65F5F" w:rsidP="00E92822">
            <w:pPr>
              <w:jc w:val="center"/>
              <w:rPr>
                <w:b/>
              </w:rPr>
            </w:pPr>
            <w:r w:rsidRPr="006729B9">
              <w:rPr>
                <w:b/>
              </w:rPr>
              <w:t>Programa A de Emisiones de Bonos Estandarizados</w:t>
            </w:r>
          </w:p>
        </w:tc>
        <w:tc>
          <w:tcPr>
            <w:tcW w:w="3540" w:type="dxa"/>
          </w:tcPr>
          <w:p w14:paraId="74C09B41" w14:textId="77777777" w:rsidR="00A65F5F" w:rsidRPr="006729B9" w:rsidRDefault="00A65F5F" w:rsidP="00E92822">
            <w:pPr>
              <w:jc w:val="center"/>
              <w:rPr>
                <w:b/>
              </w:rPr>
            </w:pPr>
            <w:r w:rsidRPr="006729B9">
              <w:rPr>
                <w:b/>
              </w:rPr>
              <w:t>¢200.000.000.000</w:t>
            </w:r>
          </w:p>
        </w:tc>
      </w:tr>
      <w:tr w:rsidR="00A65F5F" w:rsidRPr="006729B9" w14:paraId="10769A35" w14:textId="77777777" w:rsidTr="00E92822">
        <w:trPr>
          <w:jc w:val="center"/>
        </w:trPr>
        <w:tc>
          <w:tcPr>
            <w:tcW w:w="4031" w:type="dxa"/>
          </w:tcPr>
          <w:p w14:paraId="44689D49" w14:textId="77777777" w:rsidR="00A65F5F" w:rsidRPr="006729B9" w:rsidRDefault="00A65F5F" w:rsidP="00E92822">
            <w:pPr>
              <w:jc w:val="center"/>
              <w:rPr>
                <w:b/>
              </w:rPr>
            </w:pPr>
            <w:r w:rsidRPr="006729B9">
              <w:rPr>
                <w:b/>
              </w:rPr>
              <w:t>Programa E de Emisiones de Bonos Estandarizados</w:t>
            </w:r>
          </w:p>
        </w:tc>
        <w:tc>
          <w:tcPr>
            <w:tcW w:w="3540" w:type="dxa"/>
          </w:tcPr>
          <w:p w14:paraId="7C66D7ED" w14:textId="77777777" w:rsidR="00A65F5F" w:rsidRPr="006729B9" w:rsidRDefault="00A65F5F" w:rsidP="00E92822">
            <w:pPr>
              <w:jc w:val="center"/>
              <w:rPr>
                <w:b/>
              </w:rPr>
            </w:pPr>
            <w:r w:rsidRPr="006729B9">
              <w:rPr>
                <w:b/>
              </w:rPr>
              <w:t>$200.000.000</w:t>
            </w:r>
          </w:p>
        </w:tc>
      </w:tr>
      <w:tr w:rsidR="00A65F5F" w:rsidRPr="006729B9" w14:paraId="4B6A9C35" w14:textId="77777777" w:rsidTr="00E92822">
        <w:trPr>
          <w:jc w:val="center"/>
        </w:trPr>
        <w:tc>
          <w:tcPr>
            <w:tcW w:w="4031" w:type="dxa"/>
          </w:tcPr>
          <w:p w14:paraId="3106A784" w14:textId="77777777" w:rsidR="00A65F5F" w:rsidRPr="006729B9" w:rsidRDefault="00A65F5F" w:rsidP="00E92822">
            <w:pPr>
              <w:jc w:val="center"/>
              <w:rPr>
                <w:b/>
              </w:rPr>
            </w:pPr>
            <w:r w:rsidRPr="006729B9">
              <w:rPr>
                <w:b/>
              </w:rPr>
              <w:t>Programa F de Emisiones de Bonos Estandarizados</w:t>
            </w:r>
          </w:p>
        </w:tc>
        <w:tc>
          <w:tcPr>
            <w:tcW w:w="3540" w:type="dxa"/>
          </w:tcPr>
          <w:p w14:paraId="675538A2" w14:textId="77777777" w:rsidR="00A65F5F" w:rsidRPr="006729B9" w:rsidRDefault="00A65F5F" w:rsidP="00E92822">
            <w:pPr>
              <w:jc w:val="center"/>
              <w:rPr>
                <w:b/>
              </w:rPr>
            </w:pPr>
            <w:r w:rsidRPr="006729B9">
              <w:rPr>
                <w:b/>
              </w:rPr>
              <w:t xml:space="preserve">$400.000.000 </w:t>
            </w:r>
          </w:p>
        </w:tc>
      </w:tr>
      <w:tr w:rsidR="00A65F5F" w:rsidRPr="006729B9" w14:paraId="5EBB5F2B" w14:textId="77777777" w:rsidTr="00E92822">
        <w:trPr>
          <w:jc w:val="center"/>
        </w:trPr>
        <w:tc>
          <w:tcPr>
            <w:tcW w:w="4031" w:type="dxa"/>
          </w:tcPr>
          <w:p w14:paraId="53F772AC" w14:textId="77777777" w:rsidR="00A65F5F" w:rsidRPr="006729B9" w:rsidRDefault="00A65F5F" w:rsidP="00E92822">
            <w:pPr>
              <w:jc w:val="center"/>
              <w:rPr>
                <w:b/>
              </w:rPr>
            </w:pPr>
            <w:r>
              <w:rPr>
                <w:b/>
              </w:rPr>
              <w:t>Programa G de Emisiones de Bonos Estandarizados</w:t>
            </w:r>
          </w:p>
        </w:tc>
        <w:tc>
          <w:tcPr>
            <w:tcW w:w="3540" w:type="dxa"/>
          </w:tcPr>
          <w:p w14:paraId="56F70D05" w14:textId="77777777" w:rsidR="00A65F5F" w:rsidRPr="006729B9" w:rsidRDefault="00A65F5F" w:rsidP="00E92822">
            <w:pPr>
              <w:jc w:val="center"/>
              <w:rPr>
                <w:b/>
              </w:rPr>
            </w:pPr>
            <w:r>
              <w:rPr>
                <w:b/>
              </w:rPr>
              <w:t xml:space="preserve">$350.000.000 </w:t>
            </w:r>
          </w:p>
        </w:tc>
      </w:tr>
    </w:tbl>
    <w:p w14:paraId="553ED31B" w14:textId="77777777" w:rsidR="00A65F5F" w:rsidRDefault="00A65F5F" w:rsidP="00A65F5F">
      <w:pPr>
        <w:jc w:val="center"/>
        <w:rPr>
          <w:b/>
          <w:sz w:val="28"/>
        </w:rPr>
      </w:pPr>
    </w:p>
    <w:p w14:paraId="66358E85" w14:textId="77777777" w:rsidR="00A65F5F" w:rsidRPr="00B87479" w:rsidRDefault="00A65F5F" w:rsidP="00A65F5F">
      <w:pPr>
        <w:jc w:val="center"/>
        <w:rPr>
          <w:b/>
        </w:rPr>
      </w:pPr>
    </w:p>
    <w:p w14:paraId="2FA96ABF" w14:textId="77777777" w:rsidR="00A65F5F" w:rsidRPr="00B87479" w:rsidRDefault="00A65F5F" w:rsidP="00A65F5F">
      <w:pPr>
        <w:jc w:val="center"/>
        <w:rPr>
          <w:b/>
        </w:rPr>
      </w:pPr>
      <w:r w:rsidRPr="00B87479">
        <w:rPr>
          <w:b/>
        </w:rPr>
        <w:t xml:space="preserve">Número de resolución y fecha de autorización </w:t>
      </w:r>
      <w:r>
        <w:rPr>
          <w:b/>
        </w:rPr>
        <w:t xml:space="preserve">para los programas A y B de emisiones de Bonos Estandarizados: </w:t>
      </w:r>
      <w:r w:rsidRPr="00B87479">
        <w:rPr>
          <w:b/>
        </w:rPr>
        <w:t>SGV-R-</w:t>
      </w:r>
      <w:r>
        <w:rPr>
          <w:b/>
        </w:rPr>
        <w:t>2115</w:t>
      </w:r>
      <w:r w:rsidRPr="00B87479">
        <w:rPr>
          <w:b/>
        </w:rPr>
        <w:t xml:space="preserve"> del </w:t>
      </w:r>
      <w:r>
        <w:rPr>
          <w:b/>
        </w:rPr>
        <w:t>10</w:t>
      </w:r>
      <w:r w:rsidRPr="00B87479">
        <w:rPr>
          <w:b/>
        </w:rPr>
        <w:t xml:space="preserve"> de </w:t>
      </w:r>
      <w:r>
        <w:rPr>
          <w:b/>
        </w:rPr>
        <w:t xml:space="preserve">setiembre </w:t>
      </w:r>
      <w:r w:rsidRPr="00B87479">
        <w:rPr>
          <w:b/>
        </w:rPr>
        <w:t>del 200</w:t>
      </w:r>
      <w:r>
        <w:rPr>
          <w:b/>
        </w:rPr>
        <w:t>9.  Resolución SGV-R-2335 del 06 de octubre del 2010 para el Programa E.  Resolución SGV-R-2529 del 23 de setiembre del 2011 para el Programa F. Resolución SGV-R-3077 del 24 de setiembre del 2015 para el Programa G.</w:t>
      </w:r>
    </w:p>
    <w:tbl>
      <w:tblPr>
        <w:tblW w:w="0" w:type="auto"/>
        <w:tblLook w:val="01E0" w:firstRow="1" w:lastRow="1" w:firstColumn="1" w:lastColumn="1" w:noHBand="0" w:noVBand="0"/>
      </w:tblPr>
      <w:tblGrid>
        <w:gridCol w:w="4641"/>
        <w:gridCol w:w="4499"/>
      </w:tblGrid>
      <w:tr w:rsidR="00A65F5F" w:rsidRPr="004E5F4F" w14:paraId="5FDF899E" w14:textId="77777777" w:rsidTr="001D237A">
        <w:tc>
          <w:tcPr>
            <w:tcW w:w="4784" w:type="dxa"/>
          </w:tcPr>
          <w:p w14:paraId="32607FEA" w14:textId="77777777" w:rsidR="00A65F5F" w:rsidRDefault="00A65F5F" w:rsidP="00E92822">
            <w:pPr>
              <w:jc w:val="center"/>
              <w:rPr>
                <w:b/>
              </w:rPr>
            </w:pPr>
          </w:p>
          <w:p w14:paraId="3B17F472" w14:textId="77777777" w:rsidR="00A65F5F" w:rsidRPr="003A34A5" w:rsidRDefault="00A65F5F" w:rsidP="00E92822">
            <w:pPr>
              <w:jc w:val="center"/>
              <w:rPr>
                <w:b/>
              </w:rPr>
            </w:pPr>
            <w:r w:rsidRPr="003A34A5">
              <w:rPr>
                <w:b/>
              </w:rPr>
              <w:t>Puestos de Bolsa Representa</w:t>
            </w:r>
            <w:r>
              <w:rPr>
                <w:b/>
              </w:rPr>
              <w:t>n</w:t>
            </w:r>
            <w:r w:rsidRPr="003A34A5">
              <w:rPr>
                <w:b/>
              </w:rPr>
              <w:t>tes</w:t>
            </w:r>
          </w:p>
          <w:p w14:paraId="21099B59" w14:textId="77777777" w:rsidR="00A65F5F" w:rsidRPr="003A34A5" w:rsidRDefault="00A65F5F" w:rsidP="00E92822">
            <w:pPr>
              <w:jc w:val="center"/>
              <w:rPr>
                <w:b/>
              </w:rPr>
            </w:pPr>
            <w:r w:rsidRPr="003A34A5">
              <w:rPr>
                <w:b/>
              </w:rPr>
              <w:t>BCR Valores, Puesto de Bolsa</w:t>
            </w:r>
          </w:p>
          <w:p w14:paraId="08996852" w14:textId="77777777" w:rsidR="00A65F5F" w:rsidRDefault="00A65F5F" w:rsidP="00E92822">
            <w:pPr>
              <w:jc w:val="center"/>
              <w:rPr>
                <w:b/>
              </w:rPr>
            </w:pPr>
            <w:r w:rsidRPr="003A34A5">
              <w:rPr>
                <w:b/>
              </w:rPr>
              <w:t>INS Valores, Puesto de Bolsa</w:t>
            </w:r>
          </w:p>
          <w:p w14:paraId="0043D41B" w14:textId="77777777" w:rsidR="00A65F5F" w:rsidRPr="00ED4B2E" w:rsidRDefault="00A65F5F" w:rsidP="00E92822">
            <w:pPr>
              <w:jc w:val="center"/>
              <w:rPr>
                <w:b/>
                <w:highlight w:val="yellow"/>
              </w:rPr>
            </w:pPr>
            <w:r>
              <w:rPr>
                <w:b/>
              </w:rPr>
              <w:t>BN Valores, Puesto de Bolsa</w:t>
            </w:r>
          </w:p>
        </w:tc>
        <w:tc>
          <w:tcPr>
            <w:tcW w:w="4713" w:type="dxa"/>
          </w:tcPr>
          <w:p w14:paraId="452CB9C5" w14:textId="77777777" w:rsidR="00A65F5F" w:rsidRPr="00B87479" w:rsidRDefault="00A65F5F" w:rsidP="00E92822">
            <w:pPr>
              <w:jc w:val="center"/>
              <w:rPr>
                <w:b/>
              </w:rPr>
            </w:pPr>
          </w:p>
        </w:tc>
      </w:tr>
      <w:tr w:rsidR="00A65F5F" w:rsidRPr="004E5F4F" w14:paraId="1A555167" w14:textId="77777777" w:rsidTr="001D237A">
        <w:tc>
          <w:tcPr>
            <w:tcW w:w="4784" w:type="dxa"/>
          </w:tcPr>
          <w:p w14:paraId="1DAF4C77" w14:textId="77777777" w:rsidR="00A65F5F" w:rsidRPr="00ED4B2E" w:rsidRDefault="00A65F5F" w:rsidP="00E92822">
            <w:pPr>
              <w:rPr>
                <w:highlight w:val="yellow"/>
              </w:rPr>
            </w:pPr>
          </w:p>
        </w:tc>
        <w:tc>
          <w:tcPr>
            <w:tcW w:w="4713" w:type="dxa"/>
          </w:tcPr>
          <w:p w14:paraId="69153171" w14:textId="77777777" w:rsidR="00A65F5F" w:rsidRPr="004E5F4F" w:rsidRDefault="00A65F5F" w:rsidP="00E92822">
            <w:pPr>
              <w:jc w:val="center"/>
              <w:rPr>
                <w:b/>
                <w:sz w:val="28"/>
              </w:rPr>
            </w:pPr>
          </w:p>
          <w:p w14:paraId="6D16AF70" w14:textId="77777777" w:rsidR="00A65F5F" w:rsidRPr="004E5F4F" w:rsidRDefault="00A65F5F" w:rsidP="00E92822">
            <w:pPr>
              <w:rPr>
                <w:b/>
                <w:sz w:val="28"/>
              </w:rPr>
            </w:pPr>
          </w:p>
        </w:tc>
      </w:tr>
    </w:tbl>
    <w:p w14:paraId="56209DAE" w14:textId="77777777" w:rsidR="00A65F5F" w:rsidRPr="00F50621" w:rsidRDefault="00A65F5F" w:rsidP="00A65F5F">
      <w:pPr>
        <w:jc w:val="center"/>
        <w:rPr>
          <w:b/>
          <w:sz w:val="22"/>
        </w:rPr>
      </w:pPr>
      <w:r w:rsidRPr="00F50621">
        <w:rPr>
          <w:b/>
          <w:sz w:val="22"/>
        </w:rPr>
        <w:t>¨La autorización para realizar oferta pública no implica calificación sobre la emisión, ni la solvencia del emisor o el intermediario”</w:t>
      </w:r>
    </w:p>
    <w:p w14:paraId="3C4DFE11" w14:textId="77777777" w:rsidR="00A65F5F" w:rsidRPr="00F50621" w:rsidRDefault="00A65F5F" w:rsidP="00A65F5F">
      <w:pPr>
        <w:jc w:val="center"/>
        <w:rPr>
          <w:b/>
          <w:sz w:val="22"/>
        </w:rPr>
      </w:pPr>
    </w:p>
    <w:p w14:paraId="1718B48F" w14:textId="379F0ADD" w:rsidR="00A65F5F" w:rsidRPr="00F50621" w:rsidRDefault="00E25DC6" w:rsidP="00A65F5F">
      <w:pPr>
        <w:jc w:val="center"/>
        <w:rPr>
          <w:b/>
          <w:sz w:val="22"/>
        </w:rPr>
      </w:pPr>
      <w:r>
        <w:rPr>
          <w:b/>
          <w:sz w:val="22"/>
        </w:rPr>
        <w:t>Diciembre</w:t>
      </w:r>
      <w:r w:rsidR="00A65F5F" w:rsidRPr="00F50621">
        <w:rPr>
          <w:b/>
          <w:sz w:val="22"/>
        </w:rPr>
        <w:t xml:space="preserve"> 20</w:t>
      </w:r>
      <w:r w:rsidR="002F260D">
        <w:rPr>
          <w:b/>
          <w:sz w:val="22"/>
        </w:rPr>
        <w:t>2</w:t>
      </w:r>
      <w:r w:rsidR="008C019B">
        <w:rPr>
          <w:b/>
          <w:sz w:val="22"/>
        </w:rPr>
        <w:t>3</w:t>
      </w:r>
    </w:p>
    <w:p w14:paraId="29D39862" w14:textId="77777777" w:rsidR="00A65F5F" w:rsidRPr="00F50621" w:rsidRDefault="00A65F5F" w:rsidP="00A65F5F">
      <w:pPr>
        <w:jc w:val="center"/>
        <w:rPr>
          <w:b/>
          <w:sz w:val="22"/>
        </w:rPr>
      </w:pPr>
      <w:r w:rsidRPr="00F50621">
        <w:rPr>
          <w:b/>
          <w:sz w:val="22"/>
        </w:rPr>
        <w:t>San José, Costa Rica</w:t>
      </w:r>
    </w:p>
    <w:p w14:paraId="3589B78D" w14:textId="77777777" w:rsidR="00A65F5F" w:rsidRPr="006E6381" w:rsidRDefault="00A65F5F" w:rsidP="00A65F5F">
      <w:pPr>
        <w:jc w:val="center"/>
        <w:rPr>
          <w:b/>
        </w:rPr>
      </w:pPr>
      <w:r>
        <w:rPr>
          <w:b/>
          <w:sz w:val="28"/>
        </w:rPr>
        <w:br w:type="page"/>
      </w:r>
      <w:r w:rsidRPr="006E6381">
        <w:rPr>
          <w:rFonts w:ascii="Century Gothic" w:hAnsi="Century Gothic"/>
          <w:b/>
        </w:rPr>
        <w:lastRenderedPageBreak/>
        <w:t>NOTAS IMPORTANTES PARA EL INVERSIONISTA</w:t>
      </w:r>
      <w:r w:rsidRPr="006E6381">
        <w:rPr>
          <w:b/>
        </w:rPr>
        <w:t xml:space="preserve"> </w:t>
      </w:r>
    </w:p>
    <w:p w14:paraId="7F536ECA" w14:textId="77777777" w:rsidR="00A65F5F" w:rsidRDefault="00A65F5F" w:rsidP="00A65F5F">
      <w:pPr>
        <w:jc w:val="center"/>
      </w:pPr>
    </w:p>
    <w:p w14:paraId="3ECE4208" w14:textId="77777777" w:rsidR="00A65F5F" w:rsidRDefault="00A65F5F" w:rsidP="00A65F5F">
      <w:pPr>
        <w:jc w:val="center"/>
      </w:pPr>
    </w:p>
    <w:p w14:paraId="09C7F01F" w14:textId="77777777" w:rsidR="00A65F5F" w:rsidRDefault="00A65F5F" w:rsidP="00A65F5F">
      <w:pPr>
        <w:ind w:right="-1"/>
        <w:rPr>
          <w:rFonts w:ascii="Century Gothic" w:hAnsi="Century Gothic" w:cs="Arial"/>
          <w:i/>
          <w:sz w:val="22"/>
        </w:rPr>
      </w:pPr>
      <w:r>
        <w:rPr>
          <w:rFonts w:ascii="Century Gothic" w:hAnsi="Century Gothic" w:cs="Arial"/>
          <w:i/>
          <w:sz w:val="22"/>
        </w:rPr>
        <w:t>“Señor inversionista, es su deber y derecho conocer el contenido del prospecto antes de tomar la decisión de invertir, este le brinda información sobre la emisión,  la información relevante relativa al emisor, así como los riesgos asociados tanto a la emisión como al emisor. La información estipulada en el prospecto es de carácter vinculante para la empresa, lo que significa que esta será responsable legalmente por la información que se consigne en el prospecto.</w:t>
      </w:r>
    </w:p>
    <w:p w14:paraId="5653861D" w14:textId="77777777" w:rsidR="00A65F5F" w:rsidRDefault="00A65F5F" w:rsidP="00A65F5F">
      <w:pPr>
        <w:rPr>
          <w:rFonts w:ascii="Century Gothic" w:hAnsi="Century Gothic" w:cs="Arial"/>
          <w:i/>
          <w:sz w:val="22"/>
        </w:rPr>
      </w:pPr>
    </w:p>
    <w:p w14:paraId="5D4CF0DB" w14:textId="77777777" w:rsidR="00A65F5F" w:rsidRDefault="00A65F5F" w:rsidP="00A65F5F">
      <w:pPr>
        <w:rPr>
          <w:rFonts w:ascii="Century Gothic" w:hAnsi="Century Gothic" w:cs="Arial"/>
          <w:i/>
          <w:sz w:val="22"/>
        </w:rPr>
      </w:pPr>
      <w:r>
        <w:rPr>
          <w:rFonts w:ascii="Century Gothic" w:hAnsi="Century Gothic" w:cs="Arial"/>
          <w:i/>
          <w:sz w:val="22"/>
        </w:rPr>
        <w:t>Consulte los comunicados de hechos relevantes que realiza el emisor sobre los acontecimientos que pueden incidir en el desempeño de la empresa y los informes financieros periódicos. Complemente su análisis con la calificación de riesgo actualizada por las empresas calificadoras de riesgo.</w:t>
      </w:r>
    </w:p>
    <w:p w14:paraId="6BC0F818" w14:textId="77777777" w:rsidR="00A65F5F" w:rsidRDefault="00A65F5F" w:rsidP="00A65F5F">
      <w:pPr>
        <w:rPr>
          <w:rFonts w:ascii="Century Gothic" w:hAnsi="Century Gothic" w:cs="Arial"/>
          <w:i/>
          <w:sz w:val="22"/>
        </w:rPr>
      </w:pPr>
    </w:p>
    <w:p w14:paraId="64FA9831" w14:textId="77777777" w:rsidR="00A65F5F" w:rsidRDefault="00A65F5F" w:rsidP="00A65F5F">
      <w:pPr>
        <w:rPr>
          <w:rFonts w:ascii="Century Gothic" w:hAnsi="Century Gothic" w:cs="Arial"/>
          <w:i/>
          <w:sz w:val="22"/>
        </w:rPr>
      </w:pPr>
      <w:r>
        <w:rPr>
          <w:rFonts w:ascii="Century Gothic" w:hAnsi="Century Gothic" w:cs="Arial"/>
          <w:i/>
          <w:sz w:val="22"/>
        </w:rPr>
        <w:t>El comportamiento y desempeño de las empresas emisoras a través del tiempo no aseguran su solvencia y liquidez futuras.  La inversión que realice será únicamente por su cuenta y riesgo. La Superintendencia General de Valores no emite criterio sobre la veracidad, exactitud o suficiencia de la información contenida en este prospecto.</w:t>
      </w:r>
    </w:p>
    <w:p w14:paraId="7CAD8A28" w14:textId="77777777" w:rsidR="00A65F5F" w:rsidRDefault="00A65F5F" w:rsidP="00A65F5F">
      <w:pPr>
        <w:rPr>
          <w:rFonts w:ascii="Century Gothic" w:hAnsi="Century Gothic" w:cs="Arial"/>
          <w:i/>
          <w:sz w:val="22"/>
        </w:rPr>
      </w:pPr>
    </w:p>
    <w:p w14:paraId="289A1220" w14:textId="77777777" w:rsidR="00A65F5F" w:rsidRDefault="00A65F5F" w:rsidP="00A65F5F">
      <w:pPr>
        <w:rPr>
          <w:rFonts w:ascii="Century Gothic" w:hAnsi="Century Gothic" w:cs="Arial"/>
          <w:b/>
          <w:bCs/>
          <w:sz w:val="22"/>
        </w:rPr>
      </w:pPr>
      <w:r>
        <w:rPr>
          <w:rFonts w:ascii="Century Gothic" w:hAnsi="Century Gothic" w:cs="Arial"/>
          <w:i/>
          <w:sz w:val="22"/>
        </w:rPr>
        <w:t>La Superintendencia General de Valores y quienes intervienen en el proceso de intermediación bursátil, no asumen responsabilidad sobre la situación financiera de la empresa emisora”.</w:t>
      </w:r>
    </w:p>
    <w:p w14:paraId="39B61730" w14:textId="77777777" w:rsidR="00A65F5F" w:rsidRPr="00DF1BB2" w:rsidRDefault="00A65F5F" w:rsidP="00A65F5F">
      <w:pPr>
        <w:jc w:val="center"/>
        <w:rPr>
          <w:b/>
        </w:rPr>
      </w:pPr>
      <w:r>
        <w:rPr>
          <w:b/>
          <w:sz w:val="28"/>
        </w:rPr>
        <w:br w:type="page"/>
      </w:r>
    </w:p>
    <w:p w14:paraId="19A463CE" w14:textId="77777777" w:rsidR="00A65F5F" w:rsidRDefault="00A65F5F" w:rsidP="00A65F5F">
      <w:pPr>
        <w:jc w:val="center"/>
        <w:rPr>
          <w:rFonts w:ascii="Arial" w:hAnsi="Arial" w:cs="Arial"/>
          <w:b/>
          <w:sz w:val="28"/>
          <w:szCs w:val="26"/>
        </w:rPr>
      </w:pPr>
      <w:r w:rsidRPr="00DF1BB2">
        <w:rPr>
          <w:rFonts w:ascii="Arial" w:hAnsi="Arial" w:cs="Arial"/>
          <w:b/>
          <w:sz w:val="28"/>
          <w:szCs w:val="26"/>
        </w:rPr>
        <w:t>INDICE</w:t>
      </w:r>
    </w:p>
    <w:p w14:paraId="1BE196B4" w14:textId="400581D5" w:rsidR="006A4B07" w:rsidRDefault="00DC50E4">
      <w:pPr>
        <w:pStyle w:val="TDC1"/>
        <w:rPr>
          <w:rFonts w:asciiTheme="minorHAnsi" w:eastAsiaTheme="minorEastAsia" w:hAnsiTheme="minorHAnsi" w:cstheme="minorBidi"/>
          <w:b w:val="0"/>
          <w:kern w:val="2"/>
          <w:sz w:val="22"/>
          <w:szCs w:val="22"/>
          <w:lang w:val="es-419" w:eastAsia="es-419"/>
          <w14:ligatures w14:val="standardContextual"/>
        </w:rPr>
      </w:pPr>
      <w:r>
        <w:rPr>
          <w:rFonts w:ascii="Arial" w:hAnsi="Arial" w:cs="Arial"/>
          <w:sz w:val="28"/>
          <w:szCs w:val="26"/>
        </w:rPr>
        <w:fldChar w:fldCharType="begin"/>
      </w:r>
      <w:r>
        <w:rPr>
          <w:rFonts w:ascii="Arial" w:hAnsi="Arial" w:cs="Arial"/>
          <w:sz w:val="28"/>
          <w:szCs w:val="26"/>
        </w:rPr>
        <w:instrText xml:space="preserve"> TOC \o "1-3" \h \z \u </w:instrText>
      </w:r>
      <w:r>
        <w:rPr>
          <w:rFonts w:ascii="Arial" w:hAnsi="Arial" w:cs="Arial"/>
          <w:sz w:val="28"/>
          <w:szCs w:val="26"/>
        </w:rPr>
        <w:fldChar w:fldCharType="separate"/>
      </w:r>
      <w:hyperlink w:anchor="_Toc138664884" w:history="1">
        <w:r w:rsidR="006A4B07" w:rsidRPr="00BA68F8">
          <w:rPr>
            <w:rStyle w:val="Hipervnculo"/>
          </w:rPr>
          <w:t>CAPÍTULO 1</w:t>
        </w:r>
        <w:r w:rsidR="006A4B07">
          <w:rPr>
            <w:webHidden/>
          </w:rPr>
          <w:tab/>
        </w:r>
        <w:r w:rsidR="006A4B07">
          <w:rPr>
            <w:webHidden/>
          </w:rPr>
          <w:fldChar w:fldCharType="begin"/>
        </w:r>
        <w:r w:rsidR="006A4B07">
          <w:rPr>
            <w:webHidden/>
          </w:rPr>
          <w:instrText xml:space="preserve"> PAGEREF _Toc138664884 \h </w:instrText>
        </w:r>
        <w:r w:rsidR="006A4B07">
          <w:rPr>
            <w:webHidden/>
          </w:rPr>
        </w:r>
        <w:r w:rsidR="006A4B07">
          <w:rPr>
            <w:webHidden/>
          </w:rPr>
          <w:fldChar w:fldCharType="separate"/>
        </w:r>
        <w:r w:rsidR="006A4B07">
          <w:rPr>
            <w:webHidden/>
          </w:rPr>
          <w:t>7</w:t>
        </w:r>
        <w:r w:rsidR="006A4B07">
          <w:rPr>
            <w:webHidden/>
          </w:rPr>
          <w:fldChar w:fldCharType="end"/>
        </w:r>
      </w:hyperlink>
    </w:p>
    <w:p w14:paraId="385F2CBE" w14:textId="56605FF3"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885" w:history="1">
        <w:r w:rsidR="006A4B07" w:rsidRPr="00BA68F8">
          <w:rPr>
            <w:rStyle w:val="Hipervnculo"/>
          </w:rPr>
          <w:t>Información sobre las emisiones, la oferta e identificación de los directores, gerentes y asesores involucrados con el proceso de oferta pública</w:t>
        </w:r>
        <w:r w:rsidR="006A4B07">
          <w:rPr>
            <w:webHidden/>
          </w:rPr>
          <w:tab/>
        </w:r>
        <w:r w:rsidR="006A4B07">
          <w:rPr>
            <w:webHidden/>
          </w:rPr>
          <w:fldChar w:fldCharType="begin"/>
        </w:r>
        <w:r w:rsidR="006A4B07">
          <w:rPr>
            <w:webHidden/>
          </w:rPr>
          <w:instrText xml:space="preserve"> PAGEREF _Toc138664885 \h </w:instrText>
        </w:r>
        <w:r w:rsidR="006A4B07">
          <w:rPr>
            <w:webHidden/>
          </w:rPr>
        </w:r>
        <w:r w:rsidR="006A4B07">
          <w:rPr>
            <w:webHidden/>
          </w:rPr>
          <w:fldChar w:fldCharType="separate"/>
        </w:r>
        <w:r w:rsidR="006A4B07">
          <w:rPr>
            <w:webHidden/>
          </w:rPr>
          <w:t>7</w:t>
        </w:r>
        <w:r w:rsidR="006A4B07">
          <w:rPr>
            <w:webHidden/>
          </w:rPr>
          <w:fldChar w:fldCharType="end"/>
        </w:r>
      </w:hyperlink>
    </w:p>
    <w:p w14:paraId="36443517" w14:textId="071645EF"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886" w:history="1">
        <w:r w:rsidR="006A4B07" w:rsidRPr="00BA68F8">
          <w:rPr>
            <w:rStyle w:val="Hipervnculo"/>
          </w:rPr>
          <w:t>1.1</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Información sobre la emisión y la oferta</w:t>
        </w:r>
        <w:r w:rsidR="006A4B07">
          <w:rPr>
            <w:webHidden/>
          </w:rPr>
          <w:tab/>
        </w:r>
        <w:r w:rsidR="006A4B07">
          <w:rPr>
            <w:webHidden/>
          </w:rPr>
          <w:fldChar w:fldCharType="begin"/>
        </w:r>
        <w:r w:rsidR="006A4B07">
          <w:rPr>
            <w:webHidden/>
          </w:rPr>
          <w:instrText xml:space="preserve"> PAGEREF _Toc138664886 \h </w:instrText>
        </w:r>
        <w:r w:rsidR="006A4B07">
          <w:rPr>
            <w:webHidden/>
          </w:rPr>
        </w:r>
        <w:r w:rsidR="006A4B07">
          <w:rPr>
            <w:webHidden/>
          </w:rPr>
          <w:fldChar w:fldCharType="separate"/>
        </w:r>
        <w:r w:rsidR="006A4B07">
          <w:rPr>
            <w:webHidden/>
          </w:rPr>
          <w:t>7</w:t>
        </w:r>
        <w:r w:rsidR="006A4B07">
          <w:rPr>
            <w:webHidden/>
          </w:rPr>
          <w:fldChar w:fldCharType="end"/>
        </w:r>
      </w:hyperlink>
    </w:p>
    <w:p w14:paraId="71B57271" w14:textId="46C3B0DC"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87" w:history="1">
        <w:r w:rsidR="006A4B07" w:rsidRPr="00BA68F8">
          <w:rPr>
            <w:rStyle w:val="Hipervnculo"/>
            <w:noProof/>
          </w:rPr>
          <w:t>1.1.1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Programas de Emisiones de Bonos Estandarizados</w:t>
        </w:r>
        <w:r w:rsidR="006A4B07">
          <w:rPr>
            <w:noProof/>
            <w:webHidden/>
          </w:rPr>
          <w:tab/>
        </w:r>
        <w:r w:rsidR="006A4B07">
          <w:rPr>
            <w:noProof/>
            <w:webHidden/>
          </w:rPr>
          <w:fldChar w:fldCharType="begin"/>
        </w:r>
        <w:r w:rsidR="006A4B07">
          <w:rPr>
            <w:noProof/>
            <w:webHidden/>
          </w:rPr>
          <w:instrText xml:space="preserve"> PAGEREF _Toc138664887 \h </w:instrText>
        </w:r>
        <w:r w:rsidR="006A4B07">
          <w:rPr>
            <w:noProof/>
            <w:webHidden/>
          </w:rPr>
        </w:r>
        <w:r w:rsidR="006A4B07">
          <w:rPr>
            <w:noProof/>
            <w:webHidden/>
          </w:rPr>
          <w:fldChar w:fldCharType="separate"/>
        </w:r>
        <w:r w:rsidR="006A4B07">
          <w:rPr>
            <w:noProof/>
            <w:webHidden/>
          </w:rPr>
          <w:t>7</w:t>
        </w:r>
        <w:r w:rsidR="006A4B07">
          <w:rPr>
            <w:noProof/>
            <w:webHidden/>
          </w:rPr>
          <w:fldChar w:fldCharType="end"/>
        </w:r>
      </w:hyperlink>
    </w:p>
    <w:p w14:paraId="58F45701" w14:textId="334D5807"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88" w:history="1">
        <w:r w:rsidR="006A4B07" w:rsidRPr="00BA68F8">
          <w:rPr>
            <w:rStyle w:val="Hipervnculo"/>
            <w:noProof/>
          </w:rPr>
          <w:t>1.1.2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Bono Verde ICE</w:t>
        </w:r>
        <w:r w:rsidR="006A4B07">
          <w:rPr>
            <w:noProof/>
            <w:webHidden/>
          </w:rPr>
          <w:tab/>
        </w:r>
        <w:r w:rsidR="006A4B07">
          <w:rPr>
            <w:noProof/>
            <w:webHidden/>
          </w:rPr>
          <w:fldChar w:fldCharType="begin"/>
        </w:r>
        <w:r w:rsidR="006A4B07">
          <w:rPr>
            <w:noProof/>
            <w:webHidden/>
          </w:rPr>
          <w:instrText xml:space="preserve"> PAGEREF _Toc138664888 \h </w:instrText>
        </w:r>
        <w:r w:rsidR="006A4B07">
          <w:rPr>
            <w:noProof/>
            <w:webHidden/>
          </w:rPr>
        </w:r>
        <w:r w:rsidR="006A4B07">
          <w:rPr>
            <w:noProof/>
            <w:webHidden/>
          </w:rPr>
          <w:fldChar w:fldCharType="separate"/>
        </w:r>
        <w:r w:rsidR="006A4B07">
          <w:rPr>
            <w:noProof/>
            <w:webHidden/>
          </w:rPr>
          <w:t>12</w:t>
        </w:r>
        <w:r w:rsidR="006A4B07">
          <w:rPr>
            <w:noProof/>
            <w:webHidden/>
          </w:rPr>
          <w:fldChar w:fldCharType="end"/>
        </w:r>
      </w:hyperlink>
    </w:p>
    <w:p w14:paraId="30BAA83E" w14:textId="23B0DEF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89" w:history="1">
        <w:r w:rsidR="006A4B07" w:rsidRPr="00BA68F8">
          <w:rPr>
            <w:rStyle w:val="Hipervnculo"/>
            <w:noProof/>
          </w:rPr>
          <w:t>1.1.3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Forma de Colocación de las emisiones</w:t>
        </w:r>
        <w:r w:rsidR="006A4B07">
          <w:rPr>
            <w:noProof/>
            <w:webHidden/>
          </w:rPr>
          <w:tab/>
        </w:r>
        <w:r w:rsidR="006A4B07">
          <w:rPr>
            <w:noProof/>
            <w:webHidden/>
          </w:rPr>
          <w:fldChar w:fldCharType="begin"/>
        </w:r>
        <w:r w:rsidR="006A4B07">
          <w:rPr>
            <w:noProof/>
            <w:webHidden/>
          </w:rPr>
          <w:instrText xml:space="preserve"> PAGEREF _Toc138664889 \h </w:instrText>
        </w:r>
        <w:r w:rsidR="006A4B07">
          <w:rPr>
            <w:noProof/>
            <w:webHidden/>
          </w:rPr>
        </w:r>
        <w:r w:rsidR="006A4B07">
          <w:rPr>
            <w:noProof/>
            <w:webHidden/>
          </w:rPr>
          <w:fldChar w:fldCharType="separate"/>
        </w:r>
        <w:r w:rsidR="006A4B07">
          <w:rPr>
            <w:noProof/>
            <w:webHidden/>
          </w:rPr>
          <w:t>27</w:t>
        </w:r>
        <w:r w:rsidR="006A4B07">
          <w:rPr>
            <w:noProof/>
            <w:webHidden/>
          </w:rPr>
          <w:fldChar w:fldCharType="end"/>
        </w:r>
      </w:hyperlink>
    </w:p>
    <w:p w14:paraId="03D51510" w14:textId="0142F18C"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0" w:history="1">
        <w:r w:rsidR="006A4B07" w:rsidRPr="00BA68F8">
          <w:rPr>
            <w:rStyle w:val="Hipervnculo"/>
            <w:noProof/>
          </w:rPr>
          <w:t>1.1.4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Garantías</w:t>
        </w:r>
        <w:r w:rsidR="006A4B07">
          <w:rPr>
            <w:noProof/>
            <w:webHidden/>
          </w:rPr>
          <w:tab/>
        </w:r>
        <w:r w:rsidR="006A4B07">
          <w:rPr>
            <w:noProof/>
            <w:webHidden/>
          </w:rPr>
          <w:fldChar w:fldCharType="begin"/>
        </w:r>
        <w:r w:rsidR="006A4B07">
          <w:rPr>
            <w:noProof/>
            <w:webHidden/>
          </w:rPr>
          <w:instrText xml:space="preserve"> PAGEREF _Toc138664890 \h </w:instrText>
        </w:r>
        <w:r w:rsidR="006A4B07">
          <w:rPr>
            <w:noProof/>
            <w:webHidden/>
          </w:rPr>
        </w:r>
        <w:r w:rsidR="006A4B07">
          <w:rPr>
            <w:noProof/>
            <w:webHidden/>
          </w:rPr>
          <w:fldChar w:fldCharType="separate"/>
        </w:r>
        <w:r w:rsidR="006A4B07">
          <w:rPr>
            <w:noProof/>
            <w:webHidden/>
          </w:rPr>
          <w:t>28</w:t>
        </w:r>
        <w:r w:rsidR="006A4B07">
          <w:rPr>
            <w:noProof/>
            <w:webHidden/>
          </w:rPr>
          <w:fldChar w:fldCharType="end"/>
        </w:r>
      </w:hyperlink>
    </w:p>
    <w:p w14:paraId="2095C5AE" w14:textId="07E0284C"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1" w:history="1">
        <w:r w:rsidR="006A4B07" w:rsidRPr="00BA68F8">
          <w:rPr>
            <w:rStyle w:val="Hipervnculo"/>
            <w:noProof/>
          </w:rPr>
          <w:t>1.1.5</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Prelación de Pagos</w:t>
        </w:r>
        <w:r w:rsidR="006A4B07">
          <w:rPr>
            <w:noProof/>
            <w:webHidden/>
          </w:rPr>
          <w:tab/>
        </w:r>
        <w:r w:rsidR="006A4B07">
          <w:rPr>
            <w:noProof/>
            <w:webHidden/>
          </w:rPr>
          <w:fldChar w:fldCharType="begin"/>
        </w:r>
        <w:r w:rsidR="006A4B07">
          <w:rPr>
            <w:noProof/>
            <w:webHidden/>
          </w:rPr>
          <w:instrText xml:space="preserve"> PAGEREF _Toc138664891 \h </w:instrText>
        </w:r>
        <w:r w:rsidR="006A4B07">
          <w:rPr>
            <w:noProof/>
            <w:webHidden/>
          </w:rPr>
        </w:r>
        <w:r w:rsidR="006A4B07">
          <w:rPr>
            <w:noProof/>
            <w:webHidden/>
          </w:rPr>
          <w:fldChar w:fldCharType="separate"/>
        </w:r>
        <w:r w:rsidR="006A4B07">
          <w:rPr>
            <w:noProof/>
            <w:webHidden/>
          </w:rPr>
          <w:t>28</w:t>
        </w:r>
        <w:r w:rsidR="006A4B07">
          <w:rPr>
            <w:noProof/>
            <w:webHidden/>
          </w:rPr>
          <w:fldChar w:fldCharType="end"/>
        </w:r>
      </w:hyperlink>
    </w:p>
    <w:p w14:paraId="2CCD66E6" w14:textId="504B2520"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2" w:history="1">
        <w:r w:rsidR="006A4B07" w:rsidRPr="00BA68F8">
          <w:rPr>
            <w:rStyle w:val="Hipervnculo"/>
            <w:noProof/>
          </w:rPr>
          <w:t>1.1.6</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Calificación de riesgo</w:t>
        </w:r>
        <w:r w:rsidR="006A4B07">
          <w:rPr>
            <w:noProof/>
            <w:webHidden/>
          </w:rPr>
          <w:tab/>
        </w:r>
        <w:r w:rsidR="006A4B07">
          <w:rPr>
            <w:noProof/>
            <w:webHidden/>
          </w:rPr>
          <w:fldChar w:fldCharType="begin"/>
        </w:r>
        <w:r w:rsidR="006A4B07">
          <w:rPr>
            <w:noProof/>
            <w:webHidden/>
          </w:rPr>
          <w:instrText xml:space="preserve"> PAGEREF _Toc138664892 \h </w:instrText>
        </w:r>
        <w:r w:rsidR="006A4B07">
          <w:rPr>
            <w:noProof/>
            <w:webHidden/>
          </w:rPr>
        </w:r>
        <w:r w:rsidR="006A4B07">
          <w:rPr>
            <w:noProof/>
            <w:webHidden/>
          </w:rPr>
          <w:fldChar w:fldCharType="separate"/>
        </w:r>
        <w:r w:rsidR="006A4B07">
          <w:rPr>
            <w:noProof/>
            <w:webHidden/>
          </w:rPr>
          <w:t>28</w:t>
        </w:r>
        <w:r w:rsidR="006A4B07">
          <w:rPr>
            <w:noProof/>
            <w:webHidden/>
          </w:rPr>
          <w:fldChar w:fldCharType="end"/>
        </w:r>
      </w:hyperlink>
    </w:p>
    <w:p w14:paraId="5EF1525B" w14:textId="6707982D"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3" w:history="1">
        <w:r w:rsidR="006A4B07" w:rsidRPr="00BA68F8">
          <w:rPr>
            <w:rStyle w:val="Hipervnculo"/>
            <w:noProof/>
          </w:rPr>
          <w:t>1.1.7</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Cláusula de redención anticipada Programa de Bonos Estandarizados</w:t>
        </w:r>
        <w:r w:rsidR="006A4B07">
          <w:rPr>
            <w:noProof/>
            <w:webHidden/>
          </w:rPr>
          <w:tab/>
        </w:r>
        <w:r w:rsidR="006A4B07">
          <w:rPr>
            <w:noProof/>
            <w:webHidden/>
          </w:rPr>
          <w:fldChar w:fldCharType="begin"/>
        </w:r>
        <w:r w:rsidR="006A4B07">
          <w:rPr>
            <w:noProof/>
            <w:webHidden/>
          </w:rPr>
          <w:instrText xml:space="preserve"> PAGEREF _Toc138664893 \h </w:instrText>
        </w:r>
        <w:r w:rsidR="006A4B07">
          <w:rPr>
            <w:noProof/>
            <w:webHidden/>
          </w:rPr>
        </w:r>
        <w:r w:rsidR="006A4B07">
          <w:rPr>
            <w:noProof/>
            <w:webHidden/>
          </w:rPr>
          <w:fldChar w:fldCharType="separate"/>
        </w:r>
        <w:r w:rsidR="006A4B07">
          <w:rPr>
            <w:noProof/>
            <w:webHidden/>
          </w:rPr>
          <w:t>29</w:t>
        </w:r>
        <w:r w:rsidR="006A4B07">
          <w:rPr>
            <w:noProof/>
            <w:webHidden/>
          </w:rPr>
          <w:fldChar w:fldCharType="end"/>
        </w:r>
      </w:hyperlink>
    </w:p>
    <w:p w14:paraId="6AF14DDD" w14:textId="4E2F555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4" w:history="1">
        <w:r w:rsidR="006A4B07" w:rsidRPr="00BA68F8">
          <w:rPr>
            <w:rStyle w:val="Hipervnculo"/>
            <w:noProof/>
          </w:rPr>
          <w:t>1.1.8</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Características generales aplicables a las opciones de redención anticipadas.</w:t>
        </w:r>
        <w:r w:rsidR="006A4B07">
          <w:rPr>
            <w:noProof/>
            <w:webHidden/>
          </w:rPr>
          <w:tab/>
        </w:r>
        <w:r w:rsidR="006A4B07">
          <w:rPr>
            <w:noProof/>
            <w:webHidden/>
          </w:rPr>
          <w:fldChar w:fldCharType="begin"/>
        </w:r>
        <w:r w:rsidR="006A4B07">
          <w:rPr>
            <w:noProof/>
            <w:webHidden/>
          </w:rPr>
          <w:instrText xml:space="preserve"> PAGEREF _Toc138664894 \h </w:instrText>
        </w:r>
        <w:r w:rsidR="006A4B07">
          <w:rPr>
            <w:noProof/>
            <w:webHidden/>
          </w:rPr>
        </w:r>
        <w:r w:rsidR="006A4B07">
          <w:rPr>
            <w:noProof/>
            <w:webHidden/>
          </w:rPr>
          <w:fldChar w:fldCharType="separate"/>
        </w:r>
        <w:r w:rsidR="006A4B07">
          <w:rPr>
            <w:noProof/>
            <w:webHidden/>
          </w:rPr>
          <w:t>29</w:t>
        </w:r>
        <w:r w:rsidR="006A4B07">
          <w:rPr>
            <w:noProof/>
            <w:webHidden/>
          </w:rPr>
          <w:fldChar w:fldCharType="end"/>
        </w:r>
      </w:hyperlink>
    </w:p>
    <w:p w14:paraId="46450B33" w14:textId="77DAED31"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5" w:history="1">
        <w:r w:rsidR="006A4B07" w:rsidRPr="00BA68F8">
          <w:rPr>
            <w:rStyle w:val="Hipervnculo"/>
            <w:noProof/>
          </w:rPr>
          <w:t>1.1.9</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Series colocadas pertenecientes al Programa A</w:t>
        </w:r>
        <w:r w:rsidR="006A4B07">
          <w:rPr>
            <w:noProof/>
            <w:webHidden/>
          </w:rPr>
          <w:tab/>
        </w:r>
        <w:r w:rsidR="006A4B07">
          <w:rPr>
            <w:noProof/>
            <w:webHidden/>
          </w:rPr>
          <w:fldChar w:fldCharType="begin"/>
        </w:r>
        <w:r w:rsidR="006A4B07">
          <w:rPr>
            <w:noProof/>
            <w:webHidden/>
          </w:rPr>
          <w:instrText xml:space="preserve"> PAGEREF _Toc138664895 \h </w:instrText>
        </w:r>
        <w:r w:rsidR="006A4B07">
          <w:rPr>
            <w:noProof/>
            <w:webHidden/>
          </w:rPr>
        </w:r>
        <w:r w:rsidR="006A4B07">
          <w:rPr>
            <w:noProof/>
            <w:webHidden/>
          </w:rPr>
          <w:fldChar w:fldCharType="separate"/>
        </w:r>
        <w:r w:rsidR="006A4B07">
          <w:rPr>
            <w:noProof/>
            <w:webHidden/>
          </w:rPr>
          <w:t>30</w:t>
        </w:r>
        <w:r w:rsidR="006A4B07">
          <w:rPr>
            <w:noProof/>
            <w:webHidden/>
          </w:rPr>
          <w:fldChar w:fldCharType="end"/>
        </w:r>
      </w:hyperlink>
    </w:p>
    <w:p w14:paraId="61CB7D5D" w14:textId="1EB24242"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6" w:history="1">
        <w:r w:rsidR="006A4B07" w:rsidRPr="00BA68F8">
          <w:rPr>
            <w:rStyle w:val="Hipervnculo"/>
            <w:noProof/>
            <w:lang w:val="es-ES"/>
          </w:rPr>
          <w:t>1.1.10</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lang w:val="es-ES"/>
          </w:rPr>
          <w:t>Series colocadas pertenecientes al Programa E</w:t>
        </w:r>
        <w:r w:rsidR="006A4B07">
          <w:rPr>
            <w:noProof/>
            <w:webHidden/>
          </w:rPr>
          <w:tab/>
        </w:r>
        <w:r w:rsidR="006A4B07">
          <w:rPr>
            <w:noProof/>
            <w:webHidden/>
          </w:rPr>
          <w:fldChar w:fldCharType="begin"/>
        </w:r>
        <w:r w:rsidR="006A4B07">
          <w:rPr>
            <w:noProof/>
            <w:webHidden/>
          </w:rPr>
          <w:instrText xml:space="preserve"> PAGEREF _Toc138664896 \h </w:instrText>
        </w:r>
        <w:r w:rsidR="006A4B07">
          <w:rPr>
            <w:noProof/>
            <w:webHidden/>
          </w:rPr>
        </w:r>
        <w:r w:rsidR="006A4B07">
          <w:rPr>
            <w:noProof/>
            <w:webHidden/>
          </w:rPr>
          <w:fldChar w:fldCharType="separate"/>
        </w:r>
        <w:r w:rsidR="006A4B07">
          <w:rPr>
            <w:noProof/>
            <w:webHidden/>
          </w:rPr>
          <w:t>32</w:t>
        </w:r>
        <w:r w:rsidR="006A4B07">
          <w:rPr>
            <w:noProof/>
            <w:webHidden/>
          </w:rPr>
          <w:fldChar w:fldCharType="end"/>
        </w:r>
      </w:hyperlink>
    </w:p>
    <w:p w14:paraId="569550D2" w14:textId="4C57D23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7" w:history="1">
        <w:r w:rsidR="006A4B07" w:rsidRPr="00BA68F8">
          <w:rPr>
            <w:rStyle w:val="Hipervnculo"/>
            <w:noProof/>
            <w:lang w:val="es-ES"/>
          </w:rPr>
          <w:t>1.1.11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lang w:val="es-ES"/>
          </w:rPr>
          <w:t>Series colocadas pertenecientes al Programa F</w:t>
        </w:r>
        <w:r w:rsidR="006A4B07">
          <w:rPr>
            <w:noProof/>
            <w:webHidden/>
          </w:rPr>
          <w:tab/>
        </w:r>
        <w:r w:rsidR="006A4B07">
          <w:rPr>
            <w:noProof/>
            <w:webHidden/>
          </w:rPr>
          <w:fldChar w:fldCharType="begin"/>
        </w:r>
        <w:r w:rsidR="006A4B07">
          <w:rPr>
            <w:noProof/>
            <w:webHidden/>
          </w:rPr>
          <w:instrText xml:space="preserve"> PAGEREF _Toc138664897 \h </w:instrText>
        </w:r>
        <w:r w:rsidR="006A4B07">
          <w:rPr>
            <w:noProof/>
            <w:webHidden/>
          </w:rPr>
        </w:r>
        <w:r w:rsidR="006A4B07">
          <w:rPr>
            <w:noProof/>
            <w:webHidden/>
          </w:rPr>
          <w:fldChar w:fldCharType="separate"/>
        </w:r>
        <w:r w:rsidR="006A4B07">
          <w:rPr>
            <w:noProof/>
            <w:webHidden/>
          </w:rPr>
          <w:t>32</w:t>
        </w:r>
        <w:r w:rsidR="006A4B07">
          <w:rPr>
            <w:noProof/>
            <w:webHidden/>
          </w:rPr>
          <w:fldChar w:fldCharType="end"/>
        </w:r>
      </w:hyperlink>
    </w:p>
    <w:p w14:paraId="394A61AE" w14:textId="29C85247"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8" w:history="1">
        <w:r w:rsidR="006A4B07" w:rsidRPr="00BA68F8">
          <w:rPr>
            <w:rStyle w:val="Hipervnculo"/>
            <w:noProof/>
            <w:lang w:val="es-ES"/>
          </w:rPr>
          <w:t>1.1.12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lang w:val="es-ES"/>
          </w:rPr>
          <w:t>Series colocadas pertenecientes al Programa G</w:t>
        </w:r>
        <w:r w:rsidR="006A4B07">
          <w:rPr>
            <w:noProof/>
            <w:webHidden/>
          </w:rPr>
          <w:tab/>
        </w:r>
        <w:r w:rsidR="006A4B07">
          <w:rPr>
            <w:noProof/>
            <w:webHidden/>
          </w:rPr>
          <w:fldChar w:fldCharType="begin"/>
        </w:r>
        <w:r w:rsidR="006A4B07">
          <w:rPr>
            <w:noProof/>
            <w:webHidden/>
          </w:rPr>
          <w:instrText xml:space="preserve"> PAGEREF _Toc138664898 \h </w:instrText>
        </w:r>
        <w:r w:rsidR="006A4B07">
          <w:rPr>
            <w:noProof/>
            <w:webHidden/>
          </w:rPr>
        </w:r>
        <w:r w:rsidR="006A4B07">
          <w:rPr>
            <w:noProof/>
            <w:webHidden/>
          </w:rPr>
          <w:fldChar w:fldCharType="separate"/>
        </w:r>
        <w:r w:rsidR="006A4B07">
          <w:rPr>
            <w:noProof/>
            <w:webHidden/>
          </w:rPr>
          <w:t>33</w:t>
        </w:r>
        <w:r w:rsidR="006A4B07">
          <w:rPr>
            <w:noProof/>
            <w:webHidden/>
          </w:rPr>
          <w:fldChar w:fldCharType="end"/>
        </w:r>
      </w:hyperlink>
    </w:p>
    <w:p w14:paraId="75921E6F" w14:textId="150DE2D0"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899" w:history="1">
        <w:r w:rsidR="006A4B07" w:rsidRPr="00BA68F8">
          <w:rPr>
            <w:rStyle w:val="Hipervnculo"/>
            <w:noProof/>
          </w:rPr>
          <w:t>1.1.13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Razones de la oferta y uso de los recursos provenientes de la captación</w:t>
        </w:r>
        <w:r w:rsidR="006A4B07">
          <w:rPr>
            <w:noProof/>
            <w:webHidden/>
          </w:rPr>
          <w:tab/>
        </w:r>
        <w:r w:rsidR="006A4B07">
          <w:rPr>
            <w:noProof/>
            <w:webHidden/>
          </w:rPr>
          <w:fldChar w:fldCharType="begin"/>
        </w:r>
        <w:r w:rsidR="006A4B07">
          <w:rPr>
            <w:noProof/>
            <w:webHidden/>
          </w:rPr>
          <w:instrText xml:space="preserve"> PAGEREF _Toc138664899 \h </w:instrText>
        </w:r>
        <w:r w:rsidR="006A4B07">
          <w:rPr>
            <w:noProof/>
            <w:webHidden/>
          </w:rPr>
        </w:r>
        <w:r w:rsidR="006A4B07">
          <w:rPr>
            <w:noProof/>
            <w:webHidden/>
          </w:rPr>
          <w:fldChar w:fldCharType="separate"/>
        </w:r>
        <w:r w:rsidR="006A4B07">
          <w:rPr>
            <w:noProof/>
            <w:webHidden/>
          </w:rPr>
          <w:t>34</w:t>
        </w:r>
        <w:r w:rsidR="006A4B07">
          <w:rPr>
            <w:noProof/>
            <w:webHidden/>
          </w:rPr>
          <w:fldChar w:fldCharType="end"/>
        </w:r>
      </w:hyperlink>
    </w:p>
    <w:p w14:paraId="01A67A72" w14:textId="3D03276E"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0" w:history="1">
        <w:r w:rsidR="006A4B07" w:rsidRPr="00BA68F8">
          <w:rPr>
            <w:rStyle w:val="Hipervnculo"/>
            <w:noProof/>
          </w:rPr>
          <w:t>1.1.14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Costos de la emisión y su colocación</w:t>
        </w:r>
        <w:r w:rsidR="006A4B07">
          <w:rPr>
            <w:noProof/>
            <w:webHidden/>
          </w:rPr>
          <w:tab/>
        </w:r>
        <w:r w:rsidR="006A4B07">
          <w:rPr>
            <w:noProof/>
            <w:webHidden/>
          </w:rPr>
          <w:fldChar w:fldCharType="begin"/>
        </w:r>
        <w:r w:rsidR="006A4B07">
          <w:rPr>
            <w:noProof/>
            <w:webHidden/>
          </w:rPr>
          <w:instrText xml:space="preserve"> PAGEREF _Toc138664900 \h </w:instrText>
        </w:r>
        <w:r w:rsidR="006A4B07">
          <w:rPr>
            <w:noProof/>
            <w:webHidden/>
          </w:rPr>
        </w:r>
        <w:r w:rsidR="006A4B07">
          <w:rPr>
            <w:noProof/>
            <w:webHidden/>
          </w:rPr>
          <w:fldChar w:fldCharType="separate"/>
        </w:r>
        <w:r w:rsidR="006A4B07">
          <w:rPr>
            <w:noProof/>
            <w:webHidden/>
          </w:rPr>
          <w:t>35</w:t>
        </w:r>
        <w:r w:rsidR="006A4B07">
          <w:rPr>
            <w:noProof/>
            <w:webHidden/>
          </w:rPr>
          <w:fldChar w:fldCharType="end"/>
        </w:r>
      </w:hyperlink>
    </w:p>
    <w:p w14:paraId="6AB40D1A" w14:textId="0FEF584D"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1" w:history="1">
        <w:r w:rsidR="006A4B07" w:rsidRPr="00BA68F8">
          <w:rPr>
            <w:rStyle w:val="Hipervnculo"/>
            <w:noProof/>
          </w:rPr>
          <w:t>1.1.15</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Representación por medio de anotación electrónica en cuenta</w:t>
        </w:r>
        <w:r w:rsidR="006A4B07">
          <w:rPr>
            <w:noProof/>
            <w:webHidden/>
          </w:rPr>
          <w:tab/>
        </w:r>
        <w:r w:rsidR="006A4B07">
          <w:rPr>
            <w:noProof/>
            <w:webHidden/>
          </w:rPr>
          <w:fldChar w:fldCharType="begin"/>
        </w:r>
        <w:r w:rsidR="006A4B07">
          <w:rPr>
            <w:noProof/>
            <w:webHidden/>
          </w:rPr>
          <w:instrText xml:space="preserve"> PAGEREF _Toc138664901 \h </w:instrText>
        </w:r>
        <w:r w:rsidR="006A4B07">
          <w:rPr>
            <w:noProof/>
            <w:webHidden/>
          </w:rPr>
        </w:r>
        <w:r w:rsidR="006A4B07">
          <w:rPr>
            <w:noProof/>
            <w:webHidden/>
          </w:rPr>
          <w:fldChar w:fldCharType="separate"/>
        </w:r>
        <w:r w:rsidR="006A4B07">
          <w:rPr>
            <w:noProof/>
            <w:webHidden/>
          </w:rPr>
          <w:t>36</w:t>
        </w:r>
        <w:r w:rsidR="006A4B07">
          <w:rPr>
            <w:noProof/>
            <w:webHidden/>
          </w:rPr>
          <w:fldChar w:fldCharType="end"/>
        </w:r>
      </w:hyperlink>
    </w:p>
    <w:p w14:paraId="1867864D" w14:textId="04E2AD8C"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02" w:history="1">
        <w:r w:rsidR="006A4B07" w:rsidRPr="00BA68F8">
          <w:rPr>
            <w:rStyle w:val="Hipervnculo"/>
            <w:b/>
            <w:noProof/>
            <w:lang w:val="es-ES"/>
          </w:rPr>
          <w:t>Lugar y mecanismo de pago de títulos y cupones:</w:t>
        </w:r>
        <w:r w:rsidR="006A4B07">
          <w:rPr>
            <w:noProof/>
            <w:webHidden/>
          </w:rPr>
          <w:tab/>
        </w:r>
        <w:r w:rsidR="006A4B07">
          <w:rPr>
            <w:noProof/>
            <w:webHidden/>
          </w:rPr>
          <w:fldChar w:fldCharType="begin"/>
        </w:r>
        <w:r w:rsidR="006A4B07">
          <w:rPr>
            <w:noProof/>
            <w:webHidden/>
          </w:rPr>
          <w:instrText xml:space="preserve"> PAGEREF _Toc138664902 \h </w:instrText>
        </w:r>
        <w:r w:rsidR="006A4B07">
          <w:rPr>
            <w:noProof/>
            <w:webHidden/>
          </w:rPr>
        </w:r>
        <w:r w:rsidR="006A4B07">
          <w:rPr>
            <w:noProof/>
            <w:webHidden/>
          </w:rPr>
          <w:fldChar w:fldCharType="separate"/>
        </w:r>
        <w:r w:rsidR="006A4B07">
          <w:rPr>
            <w:noProof/>
            <w:webHidden/>
          </w:rPr>
          <w:t>37</w:t>
        </w:r>
        <w:r w:rsidR="006A4B07">
          <w:rPr>
            <w:noProof/>
            <w:webHidden/>
          </w:rPr>
          <w:fldChar w:fldCharType="end"/>
        </w:r>
      </w:hyperlink>
    </w:p>
    <w:p w14:paraId="5697ED78" w14:textId="2947958E"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3" w:history="1">
        <w:r w:rsidR="006A4B07" w:rsidRPr="00BA68F8">
          <w:rPr>
            <w:rStyle w:val="Hipervnculo"/>
            <w:noProof/>
          </w:rPr>
          <w:t>1.1.16</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Agente de Pago</w:t>
        </w:r>
        <w:r w:rsidR="006A4B07">
          <w:rPr>
            <w:noProof/>
            <w:webHidden/>
          </w:rPr>
          <w:tab/>
        </w:r>
        <w:r w:rsidR="006A4B07">
          <w:rPr>
            <w:noProof/>
            <w:webHidden/>
          </w:rPr>
          <w:fldChar w:fldCharType="begin"/>
        </w:r>
        <w:r w:rsidR="006A4B07">
          <w:rPr>
            <w:noProof/>
            <w:webHidden/>
          </w:rPr>
          <w:instrText xml:space="preserve"> PAGEREF _Toc138664903 \h </w:instrText>
        </w:r>
        <w:r w:rsidR="006A4B07">
          <w:rPr>
            <w:noProof/>
            <w:webHidden/>
          </w:rPr>
        </w:r>
        <w:r w:rsidR="006A4B07">
          <w:rPr>
            <w:noProof/>
            <w:webHidden/>
          </w:rPr>
          <w:fldChar w:fldCharType="separate"/>
        </w:r>
        <w:r w:rsidR="006A4B07">
          <w:rPr>
            <w:noProof/>
            <w:webHidden/>
          </w:rPr>
          <w:t>37</w:t>
        </w:r>
        <w:r w:rsidR="006A4B07">
          <w:rPr>
            <w:noProof/>
            <w:webHidden/>
          </w:rPr>
          <w:fldChar w:fldCharType="end"/>
        </w:r>
      </w:hyperlink>
    </w:p>
    <w:p w14:paraId="1D7E08F6" w14:textId="548A792D"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4" w:history="1">
        <w:r w:rsidR="006A4B07" w:rsidRPr="00BA68F8">
          <w:rPr>
            <w:rStyle w:val="Hipervnculo"/>
            <w:noProof/>
          </w:rPr>
          <w:t>1.1.17</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Tratamiento tributario</w:t>
        </w:r>
        <w:r w:rsidR="006A4B07">
          <w:rPr>
            <w:noProof/>
            <w:webHidden/>
          </w:rPr>
          <w:tab/>
        </w:r>
        <w:r w:rsidR="006A4B07">
          <w:rPr>
            <w:noProof/>
            <w:webHidden/>
          </w:rPr>
          <w:fldChar w:fldCharType="begin"/>
        </w:r>
        <w:r w:rsidR="006A4B07">
          <w:rPr>
            <w:noProof/>
            <w:webHidden/>
          </w:rPr>
          <w:instrText xml:space="preserve"> PAGEREF _Toc138664904 \h </w:instrText>
        </w:r>
        <w:r w:rsidR="006A4B07">
          <w:rPr>
            <w:noProof/>
            <w:webHidden/>
          </w:rPr>
        </w:r>
        <w:r w:rsidR="006A4B07">
          <w:rPr>
            <w:noProof/>
            <w:webHidden/>
          </w:rPr>
          <w:fldChar w:fldCharType="separate"/>
        </w:r>
        <w:r w:rsidR="006A4B07">
          <w:rPr>
            <w:noProof/>
            <w:webHidden/>
          </w:rPr>
          <w:t>37</w:t>
        </w:r>
        <w:r w:rsidR="006A4B07">
          <w:rPr>
            <w:noProof/>
            <w:webHidden/>
          </w:rPr>
          <w:fldChar w:fldCharType="end"/>
        </w:r>
      </w:hyperlink>
    </w:p>
    <w:p w14:paraId="072A7C38" w14:textId="79D45531"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5" w:history="1">
        <w:r w:rsidR="006A4B07" w:rsidRPr="00BA68F8">
          <w:rPr>
            <w:rStyle w:val="Hipervnculo"/>
            <w:noProof/>
          </w:rPr>
          <w:t>1.1.18</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Emisiones inscritas en otros mercados</w:t>
        </w:r>
        <w:r w:rsidR="006A4B07">
          <w:rPr>
            <w:noProof/>
            <w:webHidden/>
          </w:rPr>
          <w:tab/>
        </w:r>
        <w:r w:rsidR="006A4B07">
          <w:rPr>
            <w:noProof/>
            <w:webHidden/>
          </w:rPr>
          <w:fldChar w:fldCharType="begin"/>
        </w:r>
        <w:r w:rsidR="006A4B07">
          <w:rPr>
            <w:noProof/>
            <w:webHidden/>
          </w:rPr>
          <w:instrText xml:space="preserve"> PAGEREF _Toc138664905 \h </w:instrText>
        </w:r>
        <w:r w:rsidR="006A4B07">
          <w:rPr>
            <w:noProof/>
            <w:webHidden/>
          </w:rPr>
        </w:r>
        <w:r w:rsidR="006A4B07">
          <w:rPr>
            <w:noProof/>
            <w:webHidden/>
          </w:rPr>
          <w:fldChar w:fldCharType="separate"/>
        </w:r>
        <w:r w:rsidR="006A4B07">
          <w:rPr>
            <w:noProof/>
            <w:webHidden/>
          </w:rPr>
          <w:t>37</w:t>
        </w:r>
        <w:r w:rsidR="006A4B07">
          <w:rPr>
            <w:noProof/>
            <w:webHidden/>
          </w:rPr>
          <w:fldChar w:fldCharType="end"/>
        </w:r>
      </w:hyperlink>
    </w:p>
    <w:p w14:paraId="03EC2253" w14:textId="16D4D2B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06" w:history="1">
        <w:r w:rsidR="006A4B07" w:rsidRPr="00BA68F8">
          <w:rPr>
            <w:rStyle w:val="Hipervnculo"/>
            <w:noProof/>
          </w:rPr>
          <w:t>1.1.19</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Identificación de los directores, gerentes y asesores involucrados en el proceso de oferta pública</w:t>
        </w:r>
        <w:r w:rsidR="006A4B07">
          <w:rPr>
            <w:noProof/>
            <w:webHidden/>
          </w:rPr>
          <w:tab/>
        </w:r>
        <w:r w:rsidR="006A4B07">
          <w:rPr>
            <w:noProof/>
            <w:webHidden/>
          </w:rPr>
          <w:fldChar w:fldCharType="begin"/>
        </w:r>
        <w:r w:rsidR="006A4B07">
          <w:rPr>
            <w:noProof/>
            <w:webHidden/>
          </w:rPr>
          <w:instrText xml:space="preserve"> PAGEREF _Toc138664906 \h </w:instrText>
        </w:r>
        <w:r w:rsidR="006A4B07">
          <w:rPr>
            <w:noProof/>
            <w:webHidden/>
          </w:rPr>
        </w:r>
        <w:r w:rsidR="006A4B07">
          <w:rPr>
            <w:noProof/>
            <w:webHidden/>
          </w:rPr>
          <w:fldChar w:fldCharType="separate"/>
        </w:r>
        <w:r w:rsidR="006A4B07">
          <w:rPr>
            <w:noProof/>
            <w:webHidden/>
          </w:rPr>
          <w:t>38</w:t>
        </w:r>
        <w:r w:rsidR="006A4B07">
          <w:rPr>
            <w:noProof/>
            <w:webHidden/>
          </w:rPr>
          <w:fldChar w:fldCharType="end"/>
        </w:r>
      </w:hyperlink>
    </w:p>
    <w:p w14:paraId="14ED838D" w14:textId="25E1DDA6"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907" w:history="1">
        <w:r w:rsidR="006A4B07" w:rsidRPr="00BA68F8">
          <w:rPr>
            <w:rStyle w:val="Hipervnculo"/>
          </w:rPr>
          <w:t>Capítulo 2</w:t>
        </w:r>
        <w:r w:rsidR="006A4B07">
          <w:rPr>
            <w:webHidden/>
          </w:rPr>
          <w:tab/>
        </w:r>
        <w:r w:rsidR="006A4B07">
          <w:rPr>
            <w:webHidden/>
          </w:rPr>
          <w:fldChar w:fldCharType="begin"/>
        </w:r>
        <w:r w:rsidR="006A4B07">
          <w:rPr>
            <w:webHidden/>
          </w:rPr>
          <w:instrText xml:space="preserve"> PAGEREF _Toc138664907 \h </w:instrText>
        </w:r>
        <w:r w:rsidR="006A4B07">
          <w:rPr>
            <w:webHidden/>
          </w:rPr>
        </w:r>
        <w:r w:rsidR="006A4B07">
          <w:rPr>
            <w:webHidden/>
          </w:rPr>
          <w:fldChar w:fldCharType="separate"/>
        </w:r>
        <w:r w:rsidR="006A4B07">
          <w:rPr>
            <w:webHidden/>
          </w:rPr>
          <w:t>39</w:t>
        </w:r>
        <w:r w:rsidR="006A4B07">
          <w:rPr>
            <w:webHidden/>
          </w:rPr>
          <w:fldChar w:fldCharType="end"/>
        </w:r>
      </w:hyperlink>
    </w:p>
    <w:p w14:paraId="76DC70F1" w14:textId="0A912898"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908" w:history="1">
        <w:r w:rsidR="006A4B07" w:rsidRPr="00BA68F8">
          <w:rPr>
            <w:rStyle w:val="Hipervnculo"/>
          </w:rPr>
          <w:t>Riesgos del Inversionista</w:t>
        </w:r>
        <w:r w:rsidR="006A4B07">
          <w:rPr>
            <w:webHidden/>
          </w:rPr>
          <w:tab/>
        </w:r>
        <w:r w:rsidR="006A4B07">
          <w:rPr>
            <w:webHidden/>
          </w:rPr>
          <w:fldChar w:fldCharType="begin"/>
        </w:r>
        <w:r w:rsidR="006A4B07">
          <w:rPr>
            <w:webHidden/>
          </w:rPr>
          <w:instrText xml:space="preserve"> PAGEREF _Toc138664908 \h </w:instrText>
        </w:r>
        <w:r w:rsidR="006A4B07">
          <w:rPr>
            <w:webHidden/>
          </w:rPr>
        </w:r>
        <w:r w:rsidR="006A4B07">
          <w:rPr>
            <w:webHidden/>
          </w:rPr>
          <w:fldChar w:fldCharType="separate"/>
        </w:r>
        <w:r w:rsidR="006A4B07">
          <w:rPr>
            <w:webHidden/>
          </w:rPr>
          <w:t>39</w:t>
        </w:r>
        <w:r w:rsidR="006A4B07">
          <w:rPr>
            <w:webHidden/>
          </w:rPr>
          <w:fldChar w:fldCharType="end"/>
        </w:r>
      </w:hyperlink>
    </w:p>
    <w:p w14:paraId="01E5BAA7" w14:textId="3241A518"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09" w:history="1">
        <w:r w:rsidR="006A4B07" w:rsidRPr="00BA68F8">
          <w:rPr>
            <w:rStyle w:val="Hipervnculo"/>
          </w:rPr>
          <w:t>2.1</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Riesgos de la Oferta</w:t>
        </w:r>
        <w:r w:rsidR="006A4B07">
          <w:rPr>
            <w:webHidden/>
          </w:rPr>
          <w:tab/>
        </w:r>
        <w:r w:rsidR="006A4B07">
          <w:rPr>
            <w:webHidden/>
          </w:rPr>
          <w:fldChar w:fldCharType="begin"/>
        </w:r>
        <w:r w:rsidR="006A4B07">
          <w:rPr>
            <w:webHidden/>
          </w:rPr>
          <w:instrText xml:space="preserve"> PAGEREF _Toc138664909 \h </w:instrText>
        </w:r>
        <w:r w:rsidR="006A4B07">
          <w:rPr>
            <w:webHidden/>
          </w:rPr>
        </w:r>
        <w:r w:rsidR="006A4B07">
          <w:rPr>
            <w:webHidden/>
          </w:rPr>
          <w:fldChar w:fldCharType="separate"/>
        </w:r>
        <w:r w:rsidR="006A4B07">
          <w:rPr>
            <w:webHidden/>
          </w:rPr>
          <w:t>39</w:t>
        </w:r>
        <w:r w:rsidR="006A4B07">
          <w:rPr>
            <w:webHidden/>
          </w:rPr>
          <w:fldChar w:fldCharType="end"/>
        </w:r>
      </w:hyperlink>
    </w:p>
    <w:p w14:paraId="653637C3" w14:textId="6B34EF4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0" w:history="1">
        <w:r w:rsidR="006A4B07" w:rsidRPr="00BA68F8">
          <w:rPr>
            <w:rStyle w:val="Hipervnculo"/>
            <w:noProof/>
          </w:rPr>
          <w:t>2.1.2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Riesgos emisor Instituto Costarricense de Electricidad.</w:t>
        </w:r>
        <w:r w:rsidR="006A4B07">
          <w:rPr>
            <w:noProof/>
            <w:webHidden/>
          </w:rPr>
          <w:tab/>
        </w:r>
        <w:r w:rsidR="006A4B07">
          <w:rPr>
            <w:noProof/>
            <w:webHidden/>
          </w:rPr>
          <w:fldChar w:fldCharType="begin"/>
        </w:r>
        <w:r w:rsidR="006A4B07">
          <w:rPr>
            <w:noProof/>
            <w:webHidden/>
          </w:rPr>
          <w:instrText xml:space="preserve"> PAGEREF _Toc138664910 \h </w:instrText>
        </w:r>
        <w:r w:rsidR="006A4B07">
          <w:rPr>
            <w:noProof/>
            <w:webHidden/>
          </w:rPr>
        </w:r>
        <w:r w:rsidR="006A4B07">
          <w:rPr>
            <w:noProof/>
            <w:webHidden/>
          </w:rPr>
          <w:fldChar w:fldCharType="separate"/>
        </w:r>
        <w:r w:rsidR="006A4B07">
          <w:rPr>
            <w:noProof/>
            <w:webHidden/>
          </w:rPr>
          <w:t>40</w:t>
        </w:r>
        <w:r w:rsidR="006A4B07">
          <w:rPr>
            <w:noProof/>
            <w:webHidden/>
          </w:rPr>
          <w:fldChar w:fldCharType="end"/>
        </w:r>
      </w:hyperlink>
    </w:p>
    <w:p w14:paraId="6C061C4A" w14:textId="6FFBCDE9"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1" w:history="1">
        <w:r w:rsidR="006A4B07" w:rsidRPr="00BA68F8">
          <w:rPr>
            <w:rStyle w:val="Hipervnculo"/>
            <w:noProof/>
          </w:rPr>
          <w:t>2.1.3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Riesgos de la Industria o de los negocios.</w:t>
        </w:r>
        <w:r w:rsidR="006A4B07">
          <w:rPr>
            <w:noProof/>
            <w:webHidden/>
          </w:rPr>
          <w:tab/>
        </w:r>
        <w:r w:rsidR="006A4B07">
          <w:rPr>
            <w:noProof/>
            <w:webHidden/>
          </w:rPr>
          <w:fldChar w:fldCharType="begin"/>
        </w:r>
        <w:r w:rsidR="006A4B07">
          <w:rPr>
            <w:noProof/>
            <w:webHidden/>
          </w:rPr>
          <w:instrText xml:space="preserve"> PAGEREF _Toc138664911 \h </w:instrText>
        </w:r>
        <w:r w:rsidR="006A4B07">
          <w:rPr>
            <w:noProof/>
            <w:webHidden/>
          </w:rPr>
        </w:r>
        <w:r w:rsidR="006A4B07">
          <w:rPr>
            <w:noProof/>
            <w:webHidden/>
          </w:rPr>
          <w:fldChar w:fldCharType="separate"/>
        </w:r>
        <w:r w:rsidR="006A4B07">
          <w:rPr>
            <w:noProof/>
            <w:webHidden/>
          </w:rPr>
          <w:t>44</w:t>
        </w:r>
        <w:r w:rsidR="006A4B07">
          <w:rPr>
            <w:noProof/>
            <w:webHidden/>
          </w:rPr>
          <w:fldChar w:fldCharType="end"/>
        </w:r>
      </w:hyperlink>
    </w:p>
    <w:p w14:paraId="41783BAB" w14:textId="23C6792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2" w:history="1">
        <w:r w:rsidR="006A4B07" w:rsidRPr="00BA68F8">
          <w:rPr>
            <w:rStyle w:val="Hipervnculo"/>
            <w:noProof/>
          </w:rPr>
          <w:t>2.1.4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Riesgos del ambiente, cambios climáticos.</w:t>
        </w:r>
        <w:r w:rsidR="006A4B07">
          <w:rPr>
            <w:noProof/>
            <w:webHidden/>
          </w:rPr>
          <w:tab/>
        </w:r>
        <w:r w:rsidR="006A4B07">
          <w:rPr>
            <w:noProof/>
            <w:webHidden/>
          </w:rPr>
          <w:fldChar w:fldCharType="begin"/>
        </w:r>
        <w:r w:rsidR="006A4B07">
          <w:rPr>
            <w:noProof/>
            <w:webHidden/>
          </w:rPr>
          <w:instrText xml:space="preserve"> PAGEREF _Toc138664912 \h </w:instrText>
        </w:r>
        <w:r w:rsidR="006A4B07">
          <w:rPr>
            <w:noProof/>
            <w:webHidden/>
          </w:rPr>
        </w:r>
        <w:r w:rsidR="006A4B07">
          <w:rPr>
            <w:noProof/>
            <w:webHidden/>
          </w:rPr>
          <w:fldChar w:fldCharType="separate"/>
        </w:r>
        <w:r w:rsidR="006A4B07">
          <w:rPr>
            <w:noProof/>
            <w:webHidden/>
          </w:rPr>
          <w:t>46</w:t>
        </w:r>
        <w:r w:rsidR="006A4B07">
          <w:rPr>
            <w:noProof/>
            <w:webHidden/>
          </w:rPr>
          <w:fldChar w:fldCharType="end"/>
        </w:r>
      </w:hyperlink>
    </w:p>
    <w:p w14:paraId="3C95E178" w14:textId="16A64C96"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3" w:history="1">
        <w:r w:rsidR="006A4B07" w:rsidRPr="00BA68F8">
          <w:rPr>
            <w:rStyle w:val="Hipervnculo"/>
            <w:noProof/>
          </w:rPr>
          <w:t>2.1.5</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Riesgos del entorno</w:t>
        </w:r>
        <w:r w:rsidR="006A4B07">
          <w:rPr>
            <w:noProof/>
            <w:webHidden/>
          </w:rPr>
          <w:tab/>
        </w:r>
        <w:r w:rsidR="006A4B07">
          <w:rPr>
            <w:noProof/>
            <w:webHidden/>
          </w:rPr>
          <w:fldChar w:fldCharType="begin"/>
        </w:r>
        <w:r w:rsidR="006A4B07">
          <w:rPr>
            <w:noProof/>
            <w:webHidden/>
          </w:rPr>
          <w:instrText xml:space="preserve"> PAGEREF _Toc138664913 \h </w:instrText>
        </w:r>
        <w:r w:rsidR="006A4B07">
          <w:rPr>
            <w:noProof/>
            <w:webHidden/>
          </w:rPr>
        </w:r>
        <w:r w:rsidR="006A4B07">
          <w:rPr>
            <w:noProof/>
            <w:webHidden/>
          </w:rPr>
          <w:fldChar w:fldCharType="separate"/>
        </w:r>
        <w:r w:rsidR="006A4B07">
          <w:rPr>
            <w:noProof/>
            <w:webHidden/>
          </w:rPr>
          <w:t>46</w:t>
        </w:r>
        <w:r w:rsidR="006A4B07">
          <w:rPr>
            <w:noProof/>
            <w:webHidden/>
          </w:rPr>
          <w:fldChar w:fldCharType="end"/>
        </w:r>
      </w:hyperlink>
    </w:p>
    <w:p w14:paraId="5CF783F8" w14:textId="22087D2F"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14" w:history="1">
        <w:r w:rsidR="006A4B07" w:rsidRPr="00BA68F8">
          <w:rPr>
            <w:rStyle w:val="Hipervnculo"/>
          </w:rPr>
          <w:t>2.2</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Estados Financieros Auditados Grupo ICE.</w:t>
        </w:r>
        <w:r w:rsidR="006A4B07">
          <w:rPr>
            <w:webHidden/>
          </w:rPr>
          <w:tab/>
        </w:r>
        <w:r w:rsidR="006A4B07">
          <w:rPr>
            <w:webHidden/>
          </w:rPr>
          <w:fldChar w:fldCharType="begin"/>
        </w:r>
        <w:r w:rsidR="006A4B07">
          <w:rPr>
            <w:webHidden/>
          </w:rPr>
          <w:instrText xml:space="preserve"> PAGEREF _Toc138664914 \h </w:instrText>
        </w:r>
        <w:r w:rsidR="006A4B07">
          <w:rPr>
            <w:webHidden/>
          </w:rPr>
        </w:r>
        <w:r w:rsidR="006A4B07">
          <w:rPr>
            <w:webHidden/>
          </w:rPr>
          <w:fldChar w:fldCharType="separate"/>
        </w:r>
        <w:r w:rsidR="006A4B07">
          <w:rPr>
            <w:webHidden/>
          </w:rPr>
          <w:t>49</w:t>
        </w:r>
        <w:r w:rsidR="006A4B07">
          <w:rPr>
            <w:webHidden/>
          </w:rPr>
          <w:fldChar w:fldCharType="end"/>
        </w:r>
      </w:hyperlink>
    </w:p>
    <w:p w14:paraId="1E8EB6F5" w14:textId="493E3136"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15" w:history="1">
        <w:r w:rsidR="006A4B07" w:rsidRPr="00BA68F8">
          <w:rPr>
            <w:rStyle w:val="Hipervnculo"/>
          </w:rPr>
          <w:t>2.3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Análisis de Indicadores Financieros</w:t>
        </w:r>
        <w:r w:rsidR="006A4B07">
          <w:rPr>
            <w:webHidden/>
          </w:rPr>
          <w:tab/>
        </w:r>
        <w:r w:rsidR="006A4B07">
          <w:rPr>
            <w:webHidden/>
          </w:rPr>
          <w:fldChar w:fldCharType="begin"/>
        </w:r>
        <w:r w:rsidR="006A4B07">
          <w:rPr>
            <w:webHidden/>
          </w:rPr>
          <w:instrText xml:space="preserve"> PAGEREF _Toc138664915 \h </w:instrText>
        </w:r>
        <w:r w:rsidR="006A4B07">
          <w:rPr>
            <w:webHidden/>
          </w:rPr>
        </w:r>
        <w:r w:rsidR="006A4B07">
          <w:rPr>
            <w:webHidden/>
          </w:rPr>
          <w:fldChar w:fldCharType="separate"/>
        </w:r>
        <w:r w:rsidR="006A4B07">
          <w:rPr>
            <w:webHidden/>
          </w:rPr>
          <w:t>50</w:t>
        </w:r>
        <w:r w:rsidR="006A4B07">
          <w:rPr>
            <w:webHidden/>
          </w:rPr>
          <w:fldChar w:fldCharType="end"/>
        </w:r>
      </w:hyperlink>
    </w:p>
    <w:p w14:paraId="640DA420" w14:textId="6BE906E5"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6" w:history="1">
        <w:r w:rsidR="006A4B07" w:rsidRPr="00BA68F8">
          <w:rPr>
            <w:rStyle w:val="Hipervnculo"/>
            <w:noProof/>
          </w:rPr>
          <w:t>2.3.2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Índices de rentabilidad (en millones de colones)</w:t>
        </w:r>
        <w:r w:rsidR="006A4B07">
          <w:rPr>
            <w:noProof/>
            <w:webHidden/>
          </w:rPr>
          <w:tab/>
        </w:r>
        <w:r w:rsidR="006A4B07">
          <w:rPr>
            <w:noProof/>
            <w:webHidden/>
          </w:rPr>
          <w:fldChar w:fldCharType="begin"/>
        </w:r>
        <w:r w:rsidR="006A4B07">
          <w:rPr>
            <w:noProof/>
            <w:webHidden/>
          </w:rPr>
          <w:instrText xml:space="preserve"> PAGEREF _Toc138664916 \h </w:instrText>
        </w:r>
        <w:r w:rsidR="006A4B07">
          <w:rPr>
            <w:noProof/>
            <w:webHidden/>
          </w:rPr>
        </w:r>
        <w:r w:rsidR="006A4B07">
          <w:rPr>
            <w:noProof/>
            <w:webHidden/>
          </w:rPr>
          <w:fldChar w:fldCharType="separate"/>
        </w:r>
        <w:r w:rsidR="006A4B07">
          <w:rPr>
            <w:noProof/>
            <w:webHidden/>
          </w:rPr>
          <w:t>52</w:t>
        </w:r>
        <w:r w:rsidR="006A4B07">
          <w:rPr>
            <w:noProof/>
            <w:webHidden/>
          </w:rPr>
          <w:fldChar w:fldCharType="end"/>
        </w:r>
      </w:hyperlink>
    </w:p>
    <w:p w14:paraId="7A5E58A2" w14:textId="37E77A15"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7" w:history="1">
        <w:r w:rsidR="006A4B07" w:rsidRPr="00BA68F8">
          <w:rPr>
            <w:rStyle w:val="Hipervnculo"/>
            <w:noProof/>
          </w:rPr>
          <w:t>2.3.3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Índices de actividad (en millones de colones)</w:t>
        </w:r>
        <w:r w:rsidR="006A4B07">
          <w:rPr>
            <w:noProof/>
            <w:webHidden/>
          </w:rPr>
          <w:tab/>
        </w:r>
        <w:r w:rsidR="006A4B07">
          <w:rPr>
            <w:noProof/>
            <w:webHidden/>
          </w:rPr>
          <w:fldChar w:fldCharType="begin"/>
        </w:r>
        <w:r w:rsidR="006A4B07">
          <w:rPr>
            <w:noProof/>
            <w:webHidden/>
          </w:rPr>
          <w:instrText xml:space="preserve"> PAGEREF _Toc138664917 \h </w:instrText>
        </w:r>
        <w:r w:rsidR="006A4B07">
          <w:rPr>
            <w:noProof/>
            <w:webHidden/>
          </w:rPr>
        </w:r>
        <w:r w:rsidR="006A4B07">
          <w:rPr>
            <w:noProof/>
            <w:webHidden/>
          </w:rPr>
          <w:fldChar w:fldCharType="separate"/>
        </w:r>
        <w:r w:rsidR="006A4B07">
          <w:rPr>
            <w:noProof/>
            <w:webHidden/>
          </w:rPr>
          <w:t>53</w:t>
        </w:r>
        <w:r w:rsidR="006A4B07">
          <w:rPr>
            <w:noProof/>
            <w:webHidden/>
          </w:rPr>
          <w:fldChar w:fldCharType="end"/>
        </w:r>
      </w:hyperlink>
    </w:p>
    <w:p w14:paraId="107B261B" w14:textId="4931FDEC"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18" w:history="1">
        <w:r w:rsidR="006A4B07" w:rsidRPr="00BA68F8">
          <w:rPr>
            <w:rStyle w:val="Hipervnculo"/>
          </w:rPr>
          <w:t>2.4</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Endeudamiento (en millones de colones)</w:t>
        </w:r>
        <w:r w:rsidR="006A4B07">
          <w:rPr>
            <w:webHidden/>
          </w:rPr>
          <w:tab/>
        </w:r>
        <w:r w:rsidR="006A4B07">
          <w:rPr>
            <w:webHidden/>
          </w:rPr>
          <w:fldChar w:fldCharType="begin"/>
        </w:r>
        <w:r w:rsidR="006A4B07">
          <w:rPr>
            <w:webHidden/>
          </w:rPr>
          <w:instrText xml:space="preserve"> PAGEREF _Toc138664918 \h </w:instrText>
        </w:r>
        <w:r w:rsidR="006A4B07">
          <w:rPr>
            <w:webHidden/>
          </w:rPr>
        </w:r>
        <w:r w:rsidR="006A4B07">
          <w:rPr>
            <w:webHidden/>
          </w:rPr>
          <w:fldChar w:fldCharType="separate"/>
        </w:r>
        <w:r w:rsidR="006A4B07">
          <w:rPr>
            <w:webHidden/>
          </w:rPr>
          <w:t>56</w:t>
        </w:r>
        <w:r w:rsidR="006A4B07">
          <w:rPr>
            <w:webHidden/>
          </w:rPr>
          <w:fldChar w:fldCharType="end"/>
        </w:r>
      </w:hyperlink>
    </w:p>
    <w:p w14:paraId="5F7198F9" w14:textId="56DC137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19" w:history="1">
        <w:r w:rsidR="006A4B07" w:rsidRPr="00BA68F8">
          <w:rPr>
            <w:rStyle w:val="Hipervnculo"/>
            <w:noProof/>
          </w:rPr>
          <w:t>2.4.1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Pasivo Total a Patrimonio Neto (Porcentajes)</w:t>
        </w:r>
        <w:r w:rsidR="006A4B07">
          <w:rPr>
            <w:noProof/>
            <w:webHidden/>
          </w:rPr>
          <w:tab/>
        </w:r>
        <w:r w:rsidR="006A4B07">
          <w:rPr>
            <w:noProof/>
            <w:webHidden/>
          </w:rPr>
          <w:fldChar w:fldCharType="begin"/>
        </w:r>
        <w:r w:rsidR="006A4B07">
          <w:rPr>
            <w:noProof/>
            <w:webHidden/>
          </w:rPr>
          <w:instrText xml:space="preserve"> PAGEREF _Toc138664919 \h </w:instrText>
        </w:r>
        <w:r w:rsidR="006A4B07">
          <w:rPr>
            <w:noProof/>
            <w:webHidden/>
          </w:rPr>
        </w:r>
        <w:r w:rsidR="006A4B07">
          <w:rPr>
            <w:noProof/>
            <w:webHidden/>
          </w:rPr>
          <w:fldChar w:fldCharType="separate"/>
        </w:r>
        <w:r w:rsidR="006A4B07">
          <w:rPr>
            <w:noProof/>
            <w:webHidden/>
          </w:rPr>
          <w:t>58</w:t>
        </w:r>
        <w:r w:rsidR="006A4B07">
          <w:rPr>
            <w:noProof/>
            <w:webHidden/>
          </w:rPr>
          <w:fldChar w:fldCharType="end"/>
        </w:r>
      </w:hyperlink>
    </w:p>
    <w:p w14:paraId="24066705" w14:textId="5847AAD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20" w:history="1">
        <w:r w:rsidR="006A4B07" w:rsidRPr="00BA68F8">
          <w:rPr>
            <w:rStyle w:val="Hipervnculo"/>
            <w:noProof/>
          </w:rPr>
          <w:t>2.4.4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Cuentas Contingentes (Veces)</w:t>
        </w:r>
        <w:r w:rsidR="006A4B07">
          <w:rPr>
            <w:noProof/>
            <w:webHidden/>
          </w:rPr>
          <w:tab/>
        </w:r>
        <w:r w:rsidR="006A4B07">
          <w:rPr>
            <w:noProof/>
            <w:webHidden/>
          </w:rPr>
          <w:fldChar w:fldCharType="begin"/>
        </w:r>
        <w:r w:rsidR="006A4B07">
          <w:rPr>
            <w:noProof/>
            <w:webHidden/>
          </w:rPr>
          <w:instrText xml:space="preserve"> PAGEREF _Toc138664920 \h </w:instrText>
        </w:r>
        <w:r w:rsidR="006A4B07">
          <w:rPr>
            <w:noProof/>
            <w:webHidden/>
          </w:rPr>
        </w:r>
        <w:r w:rsidR="006A4B07">
          <w:rPr>
            <w:noProof/>
            <w:webHidden/>
          </w:rPr>
          <w:fldChar w:fldCharType="separate"/>
        </w:r>
        <w:r w:rsidR="006A4B07">
          <w:rPr>
            <w:noProof/>
            <w:webHidden/>
          </w:rPr>
          <w:t>58</w:t>
        </w:r>
        <w:r w:rsidR="006A4B07">
          <w:rPr>
            <w:noProof/>
            <w:webHidden/>
          </w:rPr>
          <w:fldChar w:fldCharType="end"/>
        </w:r>
      </w:hyperlink>
    </w:p>
    <w:p w14:paraId="24AAE723" w14:textId="632399EB"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21" w:history="1">
        <w:r w:rsidR="006A4B07" w:rsidRPr="00BA68F8">
          <w:rPr>
            <w:rStyle w:val="Hipervnculo"/>
          </w:rPr>
          <w:t>2.5</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Capitalización (en millones de colones)</w:t>
        </w:r>
        <w:r w:rsidR="006A4B07">
          <w:rPr>
            <w:webHidden/>
          </w:rPr>
          <w:tab/>
        </w:r>
        <w:r w:rsidR="006A4B07">
          <w:rPr>
            <w:webHidden/>
          </w:rPr>
          <w:fldChar w:fldCharType="begin"/>
        </w:r>
        <w:r w:rsidR="006A4B07">
          <w:rPr>
            <w:webHidden/>
          </w:rPr>
          <w:instrText xml:space="preserve"> PAGEREF _Toc138664921 \h </w:instrText>
        </w:r>
        <w:r w:rsidR="006A4B07">
          <w:rPr>
            <w:webHidden/>
          </w:rPr>
        </w:r>
        <w:r w:rsidR="006A4B07">
          <w:rPr>
            <w:webHidden/>
          </w:rPr>
          <w:fldChar w:fldCharType="separate"/>
        </w:r>
        <w:r w:rsidR="006A4B07">
          <w:rPr>
            <w:webHidden/>
          </w:rPr>
          <w:t>59</w:t>
        </w:r>
        <w:r w:rsidR="006A4B07">
          <w:rPr>
            <w:webHidden/>
          </w:rPr>
          <w:fldChar w:fldCharType="end"/>
        </w:r>
      </w:hyperlink>
    </w:p>
    <w:p w14:paraId="4B71E5A8" w14:textId="608DC84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22" w:history="1">
        <w:r w:rsidR="006A4B07" w:rsidRPr="00BA68F8">
          <w:rPr>
            <w:rStyle w:val="Hipervnculo"/>
            <w:noProof/>
          </w:rPr>
          <w:t>2.5.1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Política de distribución de dividendos</w:t>
        </w:r>
        <w:r w:rsidR="006A4B07">
          <w:rPr>
            <w:noProof/>
            <w:webHidden/>
          </w:rPr>
          <w:tab/>
        </w:r>
        <w:r w:rsidR="006A4B07">
          <w:rPr>
            <w:noProof/>
            <w:webHidden/>
          </w:rPr>
          <w:fldChar w:fldCharType="begin"/>
        </w:r>
        <w:r w:rsidR="006A4B07">
          <w:rPr>
            <w:noProof/>
            <w:webHidden/>
          </w:rPr>
          <w:instrText xml:space="preserve"> PAGEREF _Toc138664922 \h </w:instrText>
        </w:r>
        <w:r w:rsidR="006A4B07">
          <w:rPr>
            <w:noProof/>
            <w:webHidden/>
          </w:rPr>
        </w:r>
        <w:r w:rsidR="006A4B07">
          <w:rPr>
            <w:noProof/>
            <w:webHidden/>
          </w:rPr>
          <w:fldChar w:fldCharType="separate"/>
        </w:r>
        <w:r w:rsidR="006A4B07">
          <w:rPr>
            <w:noProof/>
            <w:webHidden/>
          </w:rPr>
          <w:t>59</w:t>
        </w:r>
        <w:r w:rsidR="006A4B07">
          <w:rPr>
            <w:noProof/>
            <w:webHidden/>
          </w:rPr>
          <w:fldChar w:fldCharType="end"/>
        </w:r>
      </w:hyperlink>
    </w:p>
    <w:p w14:paraId="6B8443DB" w14:textId="39E05F5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23" w:history="1">
        <w:r w:rsidR="006A4B07" w:rsidRPr="00BA68F8">
          <w:rPr>
            <w:rStyle w:val="Hipervnculo"/>
            <w:noProof/>
          </w:rPr>
          <w:t>2.5.2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Fuentes de capitalización</w:t>
        </w:r>
        <w:r w:rsidR="006A4B07">
          <w:rPr>
            <w:noProof/>
            <w:webHidden/>
          </w:rPr>
          <w:tab/>
        </w:r>
        <w:r w:rsidR="006A4B07">
          <w:rPr>
            <w:noProof/>
            <w:webHidden/>
          </w:rPr>
          <w:fldChar w:fldCharType="begin"/>
        </w:r>
        <w:r w:rsidR="006A4B07">
          <w:rPr>
            <w:noProof/>
            <w:webHidden/>
          </w:rPr>
          <w:instrText xml:space="preserve"> PAGEREF _Toc138664923 \h </w:instrText>
        </w:r>
        <w:r w:rsidR="006A4B07">
          <w:rPr>
            <w:noProof/>
            <w:webHidden/>
          </w:rPr>
        </w:r>
        <w:r w:rsidR="006A4B07">
          <w:rPr>
            <w:noProof/>
            <w:webHidden/>
          </w:rPr>
          <w:fldChar w:fldCharType="separate"/>
        </w:r>
        <w:r w:rsidR="006A4B07">
          <w:rPr>
            <w:noProof/>
            <w:webHidden/>
          </w:rPr>
          <w:t>59</w:t>
        </w:r>
        <w:r w:rsidR="006A4B07">
          <w:rPr>
            <w:noProof/>
            <w:webHidden/>
          </w:rPr>
          <w:fldChar w:fldCharType="end"/>
        </w:r>
      </w:hyperlink>
    </w:p>
    <w:p w14:paraId="4C2C22FE" w14:textId="75FF5E13"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24" w:history="1">
        <w:r w:rsidR="006A4B07" w:rsidRPr="00BA68F8">
          <w:rPr>
            <w:rStyle w:val="Hipervnculo"/>
          </w:rPr>
          <w:t>2.6</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Exposición Cambiaria del ICE (en millones)</w:t>
        </w:r>
        <w:r w:rsidR="006A4B07">
          <w:rPr>
            <w:webHidden/>
          </w:rPr>
          <w:tab/>
        </w:r>
        <w:r w:rsidR="006A4B07">
          <w:rPr>
            <w:webHidden/>
          </w:rPr>
          <w:fldChar w:fldCharType="begin"/>
        </w:r>
        <w:r w:rsidR="006A4B07">
          <w:rPr>
            <w:webHidden/>
          </w:rPr>
          <w:instrText xml:space="preserve"> PAGEREF _Toc138664924 \h </w:instrText>
        </w:r>
        <w:r w:rsidR="006A4B07">
          <w:rPr>
            <w:webHidden/>
          </w:rPr>
        </w:r>
        <w:r w:rsidR="006A4B07">
          <w:rPr>
            <w:webHidden/>
          </w:rPr>
          <w:fldChar w:fldCharType="separate"/>
        </w:r>
        <w:r w:rsidR="006A4B07">
          <w:rPr>
            <w:webHidden/>
          </w:rPr>
          <w:t>59</w:t>
        </w:r>
        <w:r w:rsidR="006A4B07">
          <w:rPr>
            <w:webHidden/>
          </w:rPr>
          <w:fldChar w:fldCharType="end"/>
        </w:r>
      </w:hyperlink>
    </w:p>
    <w:p w14:paraId="54473C9E" w14:textId="49150FEE"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25" w:history="1">
        <w:r w:rsidR="006A4B07" w:rsidRPr="00BA68F8">
          <w:rPr>
            <w:rStyle w:val="Hipervnculo"/>
          </w:rPr>
          <w:t>2.7</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Situación Fiscal del ICE en relación con el Impuesto sobre la Renta</w:t>
        </w:r>
        <w:r w:rsidR="006A4B07">
          <w:rPr>
            <w:webHidden/>
          </w:rPr>
          <w:tab/>
        </w:r>
        <w:r w:rsidR="006A4B07">
          <w:rPr>
            <w:webHidden/>
          </w:rPr>
          <w:fldChar w:fldCharType="begin"/>
        </w:r>
        <w:r w:rsidR="006A4B07">
          <w:rPr>
            <w:webHidden/>
          </w:rPr>
          <w:instrText xml:space="preserve"> PAGEREF _Toc138664925 \h </w:instrText>
        </w:r>
        <w:r w:rsidR="006A4B07">
          <w:rPr>
            <w:webHidden/>
          </w:rPr>
        </w:r>
        <w:r w:rsidR="006A4B07">
          <w:rPr>
            <w:webHidden/>
          </w:rPr>
          <w:fldChar w:fldCharType="separate"/>
        </w:r>
        <w:r w:rsidR="006A4B07">
          <w:rPr>
            <w:webHidden/>
          </w:rPr>
          <w:t>60</w:t>
        </w:r>
        <w:r w:rsidR="006A4B07">
          <w:rPr>
            <w:webHidden/>
          </w:rPr>
          <w:fldChar w:fldCharType="end"/>
        </w:r>
      </w:hyperlink>
    </w:p>
    <w:p w14:paraId="4BED6B24" w14:textId="4A1ED4DB" w:rsidR="006A4B07" w:rsidRDefault="00000000">
      <w:pPr>
        <w:pStyle w:val="TDC2"/>
        <w:tabs>
          <w:tab w:val="left" w:pos="660"/>
        </w:tabs>
        <w:rPr>
          <w:rFonts w:asciiTheme="minorHAnsi" w:eastAsiaTheme="minorEastAsia" w:hAnsiTheme="minorHAnsi" w:cstheme="minorBidi"/>
          <w:kern w:val="2"/>
          <w:sz w:val="22"/>
          <w:szCs w:val="22"/>
          <w:lang w:val="es-419" w:eastAsia="es-419"/>
          <w14:ligatures w14:val="standardContextual"/>
        </w:rPr>
      </w:pPr>
      <w:hyperlink w:anchor="_Toc138664926" w:history="1">
        <w:r w:rsidR="006A4B07" w:rsidRPr="00BA68F8">
          <w:rPr>
            <w:rStyle w:val="Hipervnculo"/>
          </w:rPr>
          <w:t>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Información sobre la empresa emisora</w:t>
        </w:r>
        <w:r w:rsidR="006A4B07">
          <w:rPr>
            <w:webHidden/>
          </w:rPr>
          <w:tab/>
        </w:r>
        <w:r w:rsidR="006A4B07">
          <w:rPr>
            <w:webHidden/>
          </w:rPr>
          <w:fldChar w:fldCharType="begin"/>
        </w:r>
        <w:r w:rsidR="006A4B07">
          <w:rPr>
            <w:webHidden/>
          </w:rPr>
          <w:instrText xml:space="preserve"> PAGEREF _Toc138664926 \h </w:instrText>
        </w:r>
        <w:r w:rsidR="006A4B07">
          <w:rPr>
            <w:webHidden/>
          </w:rPr>
        </w:r>
        <w:r w:rsidR="006A4B07">
          <w:rPr>
            <w:webHidden/>
          </w:rPr>
          <w:fldChar w:fldCharType="separate"/>
        </w:r>
        <w:r w:rsidR="006A4B07">
          <w:rPr>
            <w:webHidden/>
          </w:rPr>
          <w:t>61</w:t>
        </w:r>
        <w:r w:rsidR="006A4B07">
          <w:rPr>
            <w:webHidden/>
          </w:rPr>
          <w:fldChar w:fldCharType="end"/>
        </w:r>
      </w:hyperlink>
    </w:p>
    <w:p w14:paraId="6E341393" w14:textId="054A5694"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27" w:history="1">
        <w:r w:rsidR="006A4B07" w:rsidRPr="00BA68F8">
          <w:rPr>
            <w:rStyle w:val="Hipervnculo"/>
            <w:b/>
            <w:noProof/>
          </w:rPr>
          <w:t>3.1 Historia y Desarrollo del Instituto Costarricense de Electricidad.</w:t>
        </w:r>
        <w:r w:rsidR="006A4B07">
          <w:rPr>
            <w:noProof/>
            <w:webHidden/>
          </w:rPr>
          <w:tab/>
        </w:r>
        <w:r w:rsidR="006A4B07">
          <w:rPr>
            <w:noProof/>
            <w:webHidden/>
          </w:rPr>
          <w:fldChar w:fldCharType="begin"/>
        </w:r>
        <w:r w:rsidR="006A4B07">
          <w:rPr>
            <w:noProof/>
            <w:webHidden/>
          </w:rPr>
          <w:instrText xml:space="preserve"> PAGEREF _Toc138664927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5EDFE3E3" w14:textId="5A9CCC8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28" w:history="1">
        <w:r w:rsidR="006A4B07" w:rsidRPr="00BA68F8">
          <w:rPr>
            <w:rStyle w:val="Hipervnculo"/>
            <w:noProof/>
          </w:rPr>
          <w:t>3.1.1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Razón Social</w:t>
        </w:r>
        <w:r w:rsidR="006A4B07">
          <w:rPr>
            <w:noProof/>
            <w:webHidden/>
          </w:rPr>
          <w:tab/>
        </w:r>
        <w:r w:rsidR="006A4B07">
          <w:rPr>
            <w:noProof/>
            <w:webHidden/>
          </w:rPr>
          <w:fldChar w:fldCharType="begin"/>
        </w:r>
        <w:r w:rsidR="006A4B07">
          <w:rPr>
            <w:noProof/>
            <w:webHidden/>
          </w:rPr>
          <w:instrText xml:space="preserve"> PAGEREF _Toc138664928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4E367479" w14:textId="3B77DD6E"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29" w:history="1">
        <w:r w:rsidR="006A4B07" w:rsidRPr="00BA68F8">
          <w:rPr>
            <w:rStyle w:val="Hipervnculo"/>
            <w:noProof/>
          </w:rPr>
          <w:t>3.1.2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Nombre comercial</w:t>
        </w:r>
        <w:r w:rsidR="006A4B07">
          <w:rPr>
            <w:noProof/>
            <w:webHidden/>
          </w:rPr>
          <w:tab/>
        </w:r>
        <w:r w:rsidR="006A4B07">
          <w:rPr>
            <w:noProof/>
            <w:webHidden/>
          </w:rPr>
          <w:fldChar w:fldCharType="begin"/>
        </w:r>
        <w:r w:rsidR="006A4B07">
          <w:rPr>
            <w:noProof/>
            <w:webHidden/>
          </w:rPr>
          <w:instrText xml:space="preserve"> PAGEREF _Toc138664929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1A1F2D36" w14:textId="5663A08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0" w:history="1">
        <w:r w:rsidR="006A4B07" w:rsidRPr="00BA68F8">
          <w:rPr>
            <w:rStyle w:val="Hipervnculo"/>
            <w:noProof/>
          </w:rPr>
          <w:t>3.1.3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Jurisdicción bajo la cual está constituida</w:t>
        </w:r>
        <w:r w:rsidR="006A4B07">
          <w:rPr>
            <w:noProof/>
            <w:webHidden/>
          </w:rPr>
          <w:tab/>
        </w:r>
        <w:r w:rsidR="006A4B07">
          <w:rPr>
            <w:noProof/>
            <w:webHidden/>
          </w:rPr>
          <w:fldChar w:fldCharType="begin"/>
        </w:r>
        <w:r w:rsidR="006A4B07">
          <w:rPr>
            <w:noProof/>
            <w:webHidden/>
          </w:rPr>
          <w:instrText xml:space="preserve"> PAGEREF _Toc138664930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39162FA2" w14:textId="485F0331"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1" w:history="1">
        <w:r w:rsidR="006A4B07" w:rsidRPr="00BA68F8">
          <w:rPr>
            <w:rStyle w:val="Hipervnculo"/>
            <w:noProof/>
          </w:rPr>
          <w:t>3.1.4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Fecha de constitución y cita de Inscripción del Registro Público</w:t>
        </w:r>
        <w:r w:rsidR="006A4B07">
          <w:rPr>
            <w:noProof/>
            <w:webHidden/>
          </w:rPr>
          <w:tab/>
        </w:r>
        <w:r w:rsidR="006A4B07">
          <w:rPr>
            <w:noProof/>
            <w:webHidden/>
          </w:rPr>
          <w:fldChar w:fldCharType="begin"/>
        </w:r>
        <w:r w:rsidR="006A4B07">
          <w:rPr>
            <w:noProof/>
            <w:webHidden/>
          </w:rPr>
          <w:instrText xml:space="preserve"> PAGEREF _Toc138664931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232E2A7A" w14:textId="02C846AC"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2" w:history="1">
        <w:r w:rsidR="006A4B07" w:rsidRPr="00BA68F8">
          <w:rPr>
            <w:rStyle w:val="Hipervnculo"/>
            <w:noProof/>
          </w:rPr>
          <w:t>3.1.5</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Número de Cédula Jurídica</w:t>
        </w:r>
        <w:r w:rsidR="006A4B07">
          <w:rPr>
            <w:noProof/>
            <w:webHidden/>
          </w:rPr>
          <w:tab/>
        </w:r>
        <w:r w:rsidR="006A4B07">
          <w:rPr>
            <w:noProof/>
            <w:webHidden/>
          </w:rPr>
          <w:fldChar w:fldCharType="begin"/>
        </w:r>
        <w:r w:rsidR="006A4B07">
          <w:rPr>
            <w:noProof/>
            <w:webHidden/>
          </w:rPr>
          <w:instrText xml:space="preserve"> PAGEREF _Toc138664932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3D204EE1" w14:textId="4F9C4625"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3" w:history="1">
        <w:r w:rsidR="006A4B07" w:rsidRPr="00BA68F8">
          <w:rPr>
            <w:rStyle w:val="Hipervnculo"/>
            <w:noProof/>
          </w:rPr>
          <w:t>3.1.6</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Composición del capital</w:t>
        </w:r>
        <w:r w:rsidR="006A4B07">
          <w:rPr>
            <w:noProof/>
            <w:webHidden/>
          </w:rPr>
          <w:tab/>
        </w:r>
        <w:r w:rsidR="006A4B07">
          <w:rPr>
            <w:noProof/>
            <w:webHidden/>
          </w:rPr>
          <w:fldChar w:fldCharType="begin"/>
        </w:r>
        <w:r w:rsidR="006A4B07">
          <w:rPr>
            <w:noProof/>
            <w:webHidden/>
          </w:rPr>
          <w:instrText xml:space="preserve"> PAGEREF _Toc138664933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1B7EEF4C" w14:textId="64327336"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4" w:history="1">
        <w:r w:rsidR="006A4B07" w:rsidRPr="00BA68F8">
          <w:rPr>
            <w:rStyle w:val="Hipervnculo"/>
            <w:noProof/>
          </w:rPr>
          <w:t>3.1.7</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Domicilio Legal</w:t>
        </w:r>
        <w:r w:rsidR="006A4B07">
          <w:rPr>
            <w:noProof/>
            <w:webHidden/>
          </w:rPr>
          <w:tab/>
        </w:r>
        <w:r w:rsidR="006A4B07">
          <w:rPr>
            <w:noProof/>
            <w:webHidden/>
          </w:rPr>
          <w:fldChar w:fldCharType="begin"/>
        </w:r>
        <w:r w:rsidR="006A4B07">
          <w:rPr>
            <w:noProof/>
            <w:webHidden/>
          </w:rPr>
          <w:instrText xml:space="preserve"> PAGEREF _Toc138664934 \h </w:instrText>
        </w:r>
        <w:r w:rsidR="006A4B07">
          <w:rPr>
            <w:noProof/>
            <w:webHidden/>
          </w:rPr>
        </w:r>
        <w:r w:rsidR="006A4B07">
          <w:rPr>
            <w:noProof/>
            <w:webHidden/>
          </w:rPr>
          <w:fldChar w:fldCharType="separate"/>
        </w:r>
        <w:r w:rsidR="006A4B07">
          <w:rPr>
            <w:noProof/>
            <w:webHidden/>
          </w:rPr>
          <w:t>61</w:t>
        </w:r>
        <w:r w:rsidR="006A4B07">
          <w:rPr>
            <w:noProof/>
            <w:webHidden/>
          </w:rPr>
          <w:fldChar w:fldCharType="end"/>
        </w:r>
      </w:hyperlink>
    </w:p>
    <w:p w14:paraId="6FAEFD1D" w14:textId="07227AD5"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5" w:history="1">
        <w:r w:rsidR="006A4B07" w:rsidRPr="00BA68F8">
          <w:rPr>
            <w:rStyle w:val="Hipervnculo"/>
            <w:noProof/>
          </w:rPr>
          <w:t>3.1.8</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Fecha de cierre fiscal y económico</w:t>
        </w:r>
        <w:r w:rsidR="006A4B07">
          <w:rPr>
            <w:noProof/>
            <w:webHidden/>
          </w:rPr>
          <w:tab/>
        </w:r>
        <w:r w:rsidR="006A4B07">
          <w:rPr>
            <w:noProof/>
            <w:webHidden/>
          </w:rPr>
          <w:fldChar w:fldCharType="begin"/>
        </w:r>
        <w:r w:rsidR="006A4B07">
          <w:rPr>
            <w:noProof/>
            <w:webHidden/>
          </w:rPr>
          <w:instrText xml:space="preserve"> PAGEREF _Toc138664935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27313ED1" w14:textId="37D94FA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6" w:history="1">
        <w:r w:rsidR="006A4B07" w:rsidRPr="00BA68F8">
          <w:rPr>
            <w:rStyle w:val="Hipervnculo"/>
            <w:noProof/>
          </w:rPr>
          <w:t>3.1.9</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Auditoría Externa</w:t>
        </w:r>
        <w:r w:rsidR="006A4B07">
          <w:rPr>
            <w:noProof/>
            <w:webHidden/>
          </w:rPr>
          <w:tab/>
        </w:r>
        <w:r w:rsidR="006A4B07">
          <w:rPr>
            <w:noProof/>
            <w:webHidden/>
          </w:rPr>
          <w:fldChar w:fldCharType="begin"/>
        </w:r>
        <w:r w:rsidR="006A4B07">
          <w:rPr>
            <w:noProof/>
            <w:webHidden/>
          </w:rPr>
          <w:instrText xml:space="preserve"> PAGEREF _Toc138664936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2743A661" w14:textId="26E1525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7" w:history="1">
        <w:r w:rsidR="006A4B07" w:rsidRPr="00BA68F8">
          <w:rPr>
            <w:rStyle w:val="Hipervnculo"/>
            <w:noProof/>
          </w:rPr>
          <w:t>3.1.10</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Asesor Legal</w:t>
        </w:r>
        <w:r w:rsidR="006A4B07">
          <w:rPr>
            <w:noProof/>
            <w:webHidden/>
          </w:rPr>
          <w:tab/>
        </w:r>
        <w:r w:rsidR="006A4B07">
          <w:rPr>
            <w:noProof/>
            <w:webHidden/>
          </w:rPr>
          <w:fldChar w:fldCharType="begin"/>
        </w:r>
        <w:r w:rsidR="006A4B07">
          <w:rPr>
            <w:noProof/>
            <w:webHidden/>
          </w:rPr>
          <w:instrText xml:space="preserve"> PAGEREF _Toc138664937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69529188" w14:textId="6CA72D7B"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8" w:history="1">
        <w:r w:rsidR="006A4B07" w:rsidRPr="00BA68F8">
          <w:rPr>
            <w:rStyle w:val="Hipervnculo"/>
            <w:noProof/>
          </w:rPr>
          <w:t>3.1.11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Moneda de la información financiera</w:t>
        </w:r>
        <w:r w:rsidR="006A4B07">
          <w:rPr>
            <w:noProof/>
            <w:webHidden/>
          </w:rPr>
          <w:tab/>
        </w:r>
        <w:r w:rsidR="006A4B07">
          <w:rPr>
            <w:noProof/>
            <w:webHidden/>
          </w:rPr>
          <w:fldChar w:fldCharType="begin"/>
        </w:r>
        <w:r w:rsidR="006A4B07">
          <w:rPr>
            <w:noProof/>
            <w:webHidden/>
          </w:rPr>
          <w:instrText xml:space="preserve"> PAGEREF _Toc138664938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1FA5F463" w14:textId="72319041"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39" w:history="1">
        <w:r w:rsidR="006A4B07" w:rsidRPr="00BA68F8">
          <w:rPr>
            <w:rStyle w:val="Hipervnculo"/>
            <w:noProof/>
          </w:rPr>
          <w:t>3.1.12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Números de Teléfono</w:t>
        </w:r>
        <w:r w:rsidR="006A4B07">
          <w:rPr>
            <w:noProof/>
            <w:webHidden/>
          </w:rPr>
          <w:tab/>
        </w:r>
        <w:r w:rsidR="006A4B07">
          <w:rPr>
            <w:noProof/>
            <w:webHidden/>
          </w:rPr>
          <w:fldChar w:fldCharType="begin"/>
        </w:r>
        <w:r w:rsidR="006A4B07">
          <w:rPr>
            <w:noProof/>
            <w:webHidden/>
          </w:rPr>
          <w:instrText xml:space="preserve"> PAGEREF _Toc138664939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3C9D359C" w14:textId="386ECAC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0" w:history="1">
        <w:r w:rsidR="006A4B07" w:rsidRPr="00BA68F8">
          <w:rPr>
            <w:rStyle w:val="Hipervnculo"/>
            <w:noProof/>
          </w:rPr>
          <w:t>3.1.13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Números de Fax</w:t>
        </w:r>
        <w:r w:rsidR="006A4B07">
          <w:rPr>
            <w:noProof/>
            <w:webHidden/>
          </w:rPr>
          <w:tab/>
        </w:r>
        <w:r w:rsidR="006A4B07">
          <w:rPr>
            <w:noProof/>
            <w:webHidden/>
          </w:rPr>
          <w:fldChar w:fldCharType="begin"/>
        </w:r>
        <w:r w:rsidR="006A4B07">
          <w:rPr>
            <w:noProof/>
            <w:webHidden/>
          </w:rPr>
          <w:instrText xml:space="preserve"> PAGEREF _Toc138664940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761E6BA0" w14:textId="26510A1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1" w:history="1">
        <w:r w:rsidR="006A4B07" w:rsidRPr="00BA68F8">
          <w:rPr>
            <w:rStyle w:val="Hipervnculo"/>
            <w:noProof/>
          </w:rPr>
          <w:t>3.1.14</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Apartado Postal</w:t>
        </w:r>
        <w:r w:rsidR="006A4B07">
          <w:rPr>
            <w:noProof/>
            <w:webHidden/>
          </w:rPr>
          <w:tab/>
        </w:r>
        <w:r w:rsidR="006A4B07">
          <w:rPr>
            <w:noProof/>
            <w:webHidden/>
          </w:rPr>
          <w:fldChar w:fldCharType="begin"/>
        </w:r>
        <w:r w:rsidR="006A4B07">
          <w:rPr>
            <w:noProof/>
            <w:webHidden/>
          </w:rPr>
          <w:instrText xml:space="preserve"> PAGEREF _Toc138664941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0813BDAF" w14:textId="32C2DEC8"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2" w:history="1">
        <w:r w:rsidR="006A4B07" w:rsidRPr="00BA68F8">
          <w:rPr>
            <w:rStyle w:val="Hipervnculo"/>
            <w:noProof/>
          </w:rPr>
          <w:t>3.1.15</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Correo Electrónico</w:t>
        </w:r>
        <w:r w:rsidR="006A4B07">
          <w:rPr>
            <w:noProof/>
            <w:webHidden/>
          </w:rPr>
          <w:tab/>
        </w:r>
        <w:r w:rsidR="006A4B07">
          <w:rPr>
            <w:noProof/>
            <w:webHidden/>
          </w:rPr>
          <w:fldChar w:fldCharType="begin"/>
        </w:r>
        <w:r w:rsidR="006A4B07">
          <w:rPr>
            <w:noProof/>
            <w:webHidden/>
          </w:rPr>
          <w:instrText xml:space="preserve"> PAGEREF _Toc138664942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78608D0E" w14:textId="04DAEBBE"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3" w:history="1">
        <w:r w:rsidR="006A4B07" w:rsidRPr="00BA68F8">
          <w:rPr>
            <w:rStyle w:val="Hipervnculo"/>
            <w:noProof/>
          </w:rPr>
          <w:t>3.1.16</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Sitio Web</w:t>
        </w:r>
        <w:r w:rsidR="006A4B07">
          <w:rPr>
            <w:noProof/>
            <w:webHidden/>
          </w:rPr>
          <w:tab/>
        </w:r>
        <w:r w:rsidR="006A4B07">
          <w:rPr>
            <w:noProof/>
            <w:webHidden/>
          </w:rPr>
          <w:fldChar w:fldCharType="begin"/>
        </w:r>
        <w:r w:rsidR="006A4B07">
          <w:rPr>
            <w:noProof/>
            <w:webHidden/>
          </w:rPr>
          <w:instrText xml:space="preserve"> PAGEREF _Toc138664943 \h </w:instrText>
        </w:r>
        <w:r w:rsidR="006A4B07">
          <w:rPr>
            <w:noProof/>
            <w:webHidden/>
          </w:rPr>
        </w:r>
        <w:r w:rsidR="006A4B07">
          <w:rPr>
            <w:noProof/>
            <w:webHidden/>
          </w:rPr>
          <w:fldChar w:fldCharType="separate"/>
        </w:r>
        <w:r w:rsidR="006A4B07">
          <w:rPr>
            <w:noProof/>
            <w:webHidden/>
          </w:rPr>
          <w:t>62</w:t>
        </w:r>
        <w:r w:rsidR="006A4B07">
          <w:rPr>
            <w:noProof/>
            <w:webHidden/>
          </w:rPr>
          <w:fldChar w:fldCharType="end"/>
        </w:r>
      </w:hyperlink>
    </w:p>
    <w:p w14:paraId="2B1051EA" w14:textId="6DE866FB"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4" w:history="1">
        <w:r w:rsidR="006A4B07" w:rsidRPr="00BA68F8">
          <w:rPr>
            <w:rStyle w:val="Hipervnculo"/>
            <w:noProof/>
          </w:rPr>
          <w:t>3.1.17</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Acontecimientos más relevantes</w:t>
        </w:r>
        <w:r w:rsidR="006A4B07">
          <w:rPr>
            <w:noProof/>
            <w:webHidden/>
          </w:rPr>
          <w:tab/>
        </w:r>
        <w:r w:rsidR="006A4B07">
          <w:rPr>
            <w:noProof/>
            <w:webHidden/>
          </w:rPr>
          <w:fldChar w:fldCharType="begin"/>
        </w:r>
        <w:r w:rsidR="006A4B07">
          <w:rPr>
            <w:noProof/>
            <w:webHidden/>
          </w:rPr>
          <w:instrText xml:space="preserve"> PAGEREF _Toc138664944 \h </w:instrText>
        </w:r>
        <w:r w:rsidR="006A4B07">
          <w:rPr>
            <w:noProof/>
            <w:webHidden/>
          </w:rPr>
        </w:r>
        <w:r w:rsidR="006A4B07">
          <w:rPr>
            <w:noProof/>
            <w:webHidden/>
          </w:rPr>
          <w:fldChar w:fldCharType="separate"/>
        </w:r>
        <w:r w:rsidR="006A4B07">
          <w:rPr>
            <w:noProof/>
            <w:webHidden/>
          </w:rPr>
          <w:t>63</w:t>
        </w:r>
        <w:r w:rsidR="006A4B07">
          <w:rPr>
            <w:noProof/>
            <w:webHidden/>
          </w:rPr>
          <w:fldChar w:fldCharType="end"/>
        </w:r>
      </w:hyperlink>
    </w:p>
    <w:p w14:paraId="2C23535A" w14:textId="31DE147A"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5" w:history="1">
        <w:r w:rsidR="006A4B07" w:rsidRPr="00BA68F8">
          <w:rPr>
            <w:rStyle w:val="Hipervnculo"/>
            <w:noProof/>
          </w:rPr>
          <w:t>3.1.18</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Actividades principales</w:t>
        </w:r>
        <w:r w:rsidR="006A4B07">
          <w:rPr>
            <w:noProof/>
            <w:webHidden/>
          </w:rPr>
          <w:tab/>
        </w:r>
        <w:r w:rsidR="006A4B07">
          <w:rPr>
            <w:noProof/>
            <w:webHidden/>
          </w:rPr>
          <w:fldChar w:fldCharType="begin"/>
        </w:r>
        <w:r w:rsidR="006A4B07">
          <w:rPr>
            <w:noProof/>
            <w:webHidden/>
          </w:rPr>
          <w:instrText xml:space="preserve"> PAGEREF _Toc138664945 \h </w:instrText>
        </w:r>
        <w:r w:rsidR="006A4B07">
          <w:rPr>
            <w:noProof/>
            <w:webHidden/>
          </w:rPr>
        </w:r>
        <w:r w:rsidR="006A4B07">
          <w:rPr>
            <w:noProof/>
            <w:webHidden/>
          </w:rPr>
          <w:fldChar w:fldCharType="separate"/>
        </w:r>
        <w:r w:rsidR="006A4B07">
          <w:rPr>
            <w:noProof/>
            <w:webHidden/>
          </w:rPr>
          <w:t>69</w:t>
        </w:r>
        <w:r w:rsidR="006A4B07">
          <w:rPr>
            <w:noProof/>
            <w:webHidden/>
          </w:rPr>
          <w:fldChar w:fldCharType="end"/>
        </w:r>
      </w:hyperlink>
    </w:p>
    <w:p w14:paraId="62417943" w14:textId="42D5FECF"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6" w:history="1">
        <w:r w:rsidR="006A4B07" w:rsidRPr="00BA68F8">
          <w:rPr>
            <w:rStyle w:val="Hipervnculo"/>
            <w:noProof/>
          </w:rPr>
          <w:t>3.1.19</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Canales de distribución</w:t>
        </w:r>
        <w:r w:rsidR="006A4B07">
          <w:rPr>
            <w:noProof/>
            <w:webHidden/>
          </w:rPr>
          <w:tab/>
        </w:r>
        <w:r w:rsidR="006A4B07">
          <w:rPr>
            <w:noProof/>
            <w:webHidden/>
          </w:rPr>
          <w:fldChar w:fldCharType="begin"/>
        </w:r>
        <w:r w:rsidR="006A4B07">
          <w:rPr>
            <w:noProof/>
            <w:webHidden/>
          </w:rPr>
          <w:instrText xml:space="preserve"> PAGEREF _Toc138664946 \h </w:instrText>
        </w:r>
        <w:r w:rsidR="006A4B07">
          <w:rPr>
            <w:noProof/>
            <w:webHidden/>
          </w:rPr>
        </w:r>
        <w:r w:rsidR="006A4B07">
          <w:rPr>
            <w:noProof/>
            <w:webHidden/>
          </w:rPr>
          <w:fldChar w:fldCharType="separate"/>
        </w:r>
        <w:r w:rsidR="006A4B07">
          <w:rPr>
            <w:noProof/>
            <w:webHidden/>
          </w:rPr>
          <w:t>76</w:t>
        </w:r>
        <w:r w:rsidR="006A4B07">
          <w:rPr>
            <w:noProof/>
            <w:webHidden/>
          </w:rPr>
          <w:fldChar w:fldCharType="end"/>
        </w:r>
      </w:hyperlink>
    </w:p>
    <w:p w14:paraId="04D5E9D1" w14:textId="56FC486C"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7" w:history="1">
        <w:r w:rsidR="006A4B07" w:rsidRPr="00BA68F8">
          <w:rPr>
            <w:rStyle w:val="Hipervnculo"/>
            <w:noProof/>
          </w:rPr>
          <w:t>3.1.20</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Características del mercado meta</w:t>
        </w:r>
        <w:r w:rsidR="006A4B07">
          <w:rPr>
            <w:noProof/>
            <w:webHidden/>
          </w:rPr>
          <w:tab/>
        </w:r>
        <w:r w:rsidR="006A4B07">
          <w:rPr>
            <w:noProof/>
            <w:webHidden/>
          </w:rPr>
          <w:fldChar w:fldCharType="begin"/>
        </w:r>
        <w:r w:rsidR="006A4B07">
          <w:rPr>
            <w:noProof/>
            <w:webHidden/>
          </w:rPr>
          <w:instrText xml:space="preserve"> PAGEREF _Toc138664947 \h </w:instrText>
        </w:r>
        <w:r w:rsidR="006A4B07">
          <w:rPr>
            <w:noProof/>
            <w:webHidden/>
          </w:rPr>
        </w:r>
        <w:r w:rsidR="006A4B07">
          <w:rPr>
            <w:noProof/>
            <w:webHidden/>
          </w:rPr>
          <w:fldChar w:fldCharType="separate"/>
        </w:r>
        <w:r w:rsidR="006A4B07">
          <w:rPr>
            <w:noProof/>
            <w:webHidden/>
          </w:rPr>
          <w:t>76</w:t>
        </w:r>
        <w:r w:rsidR="006A4B07">
          <w:rPr>
            <w:noProof/>
            <w:webHidden/>
          </w:rPr>
          <w:fldChar w:fldCharType="end"/>
        </w:r>
      </w:hyperlink>
    </w:p>
    <w:p w14:paraId="1D77AEAD" w14:textId="3B14BA0B"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8" w:history="1">
        <w:r w:rsidR="006A4B07" w:rsidRPr="00BA68F8">
          <w:rPr>
            <w:rStyle w:val="Hipervnculo"/>
            <w:noProof/>
          </w:rPr>
          <w:t>3.1.21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Materias Primas y Estacionalidad</w:t>
        </w:r>
        <w:r w:rsidR="006A4B07">
          <w:rPr>
            <w:noProof/>
            <w:webHidden/>
          </w:rPr>
          <w:tab/>
        </w:r>
        <w:r w:rsidR="006A4B07">
          <w:rPr>
            <w:noProof/>
            <w:webHidden/>
          </w:rPr>
          <w:fldChar w:fldCharType="begin"/>
        </w:r>
        <w:r w:rsidR="006A4B07">
          <w:rPr>
            <w:noProof/>
            <w:webHidden/>
          </w:rPr>
          <w:instrText xml:space="preserve"> PAGEREF _Toc138664948 \h </w:instrText>
        </w:r>
        <w:r w:rsidR="006A4B07">
          <w:rPr>
            <w:noProof/>
            <w:webHidden/>
          </w:rPr>
        </w:r>
        <w:r w:rsidR="006A4B07">
          <w:rPr>
            <w:noProof/>
            <w:webHidden/>
          </w:rPr>
          <w:fldChar w:fldCharType="separate"/>
        </w:r>
        <w:r w:rsidR="006A4B07">
          <w:rPr>
            <w:noProof/>
            <w:webHidden/>
          </w:rPr>
          <w:t>78</w:t>
        </w:r>
        <w:r w:rsidR="006A4B07">
          <w:rPr>
            <w:noProof/>
            <w:webHidden/>
          </w:rPr>
          <w:fldChar w:fldCharType="end"/>
        </w:r>
      </w:hyperlink>
    </w:p>
    <w:p w14:paraId="1374DBB9" w14:textId="2F588619"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49" w:history="1">
        <w:r w:rsidR="006A4B07" w:rsidRPr="00BA68F8">
          <w:rPr>
            <w:rStyle w:val="Hipervnculo"/>
            <w:noProof/>
          </w:rPr>
          <w:t>3.1.22</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Representación de casas extranjeras y asistencia técnica</w:t>
        </w:r>
        <w:r w:rsidR="006A4B07">
          <w:rPr>
            <w:noProof/>
            <w:webHidden/>
          </w:rPr>
          <w:tab/>
        </w:r>
        <w:r w:rsidR="006A4B07">
          <w:rPr>
            <w:noProof/>
            <w:webHidden/>
          </w:rPr>
          <w:fldChar w:fldCharType="begin"/>
        </w:r>
        <w:r w:rsidR="006A4B07">
          <w:rPr>
            <w:noProof/>
            <w:webHidden/>
          </w:rPr>
          <w:instrText xml:space="preserve"> PAGEREF _Toc138664949 \h </w:instrText>
        </w:r>
        <w:r w:rsidR="006A4B07">
          <w:rPr>
            <w:noProof/>
            <w:webHidden/>
          </w:rPr>
        </w:r>
        <w:r w:rsidR="006A4B07">
          <w:rPr>
            <w:noProof/>
            <w:webHidden/>
          </w:rPr>
          <w:fldChar w:fldCharType="separate"/>
        </w:r>
        <w:r w:rsidR="006A4B07">
          <w:rPr>
            <w:noProof/>
            <w:webHidden/>
          </w:rPr>
          <w:t>78</w:t>
        </w:r>
        <w:r w:rsidR="006A4B07">
          <w:rPr>
            <w:noProof/>
            <w:webHidden/>
          </w:rPr>
          <w:fldChar w:fldCharType="end"/>
        </w:r>
      </w:hyperlink>
    </w:p>
    <w:p w14:paraId="051DF684" w14:textId="514E0623" w:rsidR="006A4B07" w:rsidRDefault="00000000">
      <w:pPr>
        <w:pStyle w:val="TDC3"/>
        <w:tabs>
          <w:tab w:val="left" w:pos="1320"/>
        </w:tabs>
        <w:rPr>
          <w:rFonts w:asciiTheme="minorHAnsi" w:eastAsiaTheme="minorEastAsia" w:hAnsiTheme="minorHAnsi" w:cstheme="minorBidi"/>
          <w:noProof/>
          <w:kern w:val="2"/>
          <w:sz w:val="22"/>
          <w:szCs w:val="22"/>
          <w:lang w:val="es-419" w:eastAsia="es-419"/>
          <w14:ligatures w14:val="standardContextual"/>
        </w:rPr>
      </w:pPr>
      <w:hyperlink w:anchor="_Toc138664950" w:history="1">
        <w:r w:rsidR="006A4B07" w:rsidRPr="00BA68F8">
          <w:rPr>
            <w:rStyle w:val="Hipervnculo"/>
            <w:noProof/>
          </w:rPr>
          <w:t>3.1.23</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Litigios</w:t>
        </w:r>
        <w:r w:rsidR="006A4B07">
          <w:rPr>
            <w:noProof/>
            <w:webHidden/>
          </w:rPr>
          <w:tab/>
        </w:r>
        <w:r w:rsidR="006A4B07">
          <w:rPr>
            <w:noProof/>
            <w:webHidden/>
          </w:rPr>
          <w:fldChar w:fldCharType="begin"/>
        </w:r>
        <w:r w:rsidR="006A4B07">
          <w:rPr>
            <w:noProof/>
            <w:webHidden/>
          </w:rPr>
          <w:instrText xml:space="preserve"> PAGEREF _Toc138664950 \h </w:instrText>
        </w:r>
        <w:r w:rsidR="006A4B07">
          <w:rPr>
            <w:noProof/>
            <w:webHidden/>
          </w:rPr>
        </w:r>
        <w:r w:rsidR="006A4B07">
          <w:rPr>
            <w:noProof/>
            <w:webHidden/>
          </w:rPr>
          <w:fldChar w:fldCharType="separate"/>
        </w:r>
        <w:r w:rsidR="006A4B07">
          <w:rPr>
            <w:noProof/>
            <w:webHidden/>
          </w:rPr>
          <w:t>79</w:t>
        </w:r>
        <w:r w:rsidR="006A4B07">
          <w:rPr>
            <w:noProof/>
            <w:webHidden/>
          </w:rPr>
          <w:fldChar w:fldCharType="end"/>
        </w:r>
      </w:hyperlink>
    </w:p>
    <w:p w14:paraId="6986E32B" w14:textId="0BC3392D" w:rsidR="006A4B07" w:rsidRDefault="00000000">
      <w:pPr>
        <w:pStyle w:val="TDC2"/>
        <w:tabs>
          <w:tab w:val="left" w:pos="660"/>
        </w:tabs>
        <w:rPr>
          <w:rFonts w:asciiTheme="minorHAnsi" w:eastAsiaTheme="minorEastAsia" w:hAnsiTheme="minorHAnsi" w:cstheme="minorBidi"/>
          <w:kern w:val="2"/>
          <w:sz w:val="22"/>
          <w:szCs w:val="22"/>
          <w:lang w:val="es-419" w:eastAsia="es-419"/>
          <w14:ligatures w14:val="standardContextual"/>
        </w:rPr>
      </w:pPr>
      <w:hyperlink w:anchor="_Toc138664951" w:history="1">
        <w:r w:rsidR="006A4B07" w:rsidRPr="00BA68F8">
          <w:rPr>
            <w:rStyle w:val="Hipervnculo"/>
          </w:rPr>
          <w:t>4</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Visión General del Negocio</w:t>
        </w:r>
        <w:r w:rsidR="006A4B07">
          <w:rPr>
            <w:webHidden/>
          </w:rPr>
          <w:tab/>
        </w:r>
        <w:r w:rsidR="006A4B07">
          <w:rPr>
            <w:webHidden/>
          </w:rPr>
          <w:fldChar w:fldCharType="begin"/>
        </w:r>
        <w:r w:rsidR="006A4B07">
          <w:rPr>
            <w:webHidden/>
          </w:rPr>
          <w:instrText xml:space="preserve"> PAGEREF _Toc138664951 \h </w:instrText>
        </w:r>
        <w:r w:rsidR="006A4B07">
          <w:rPr>
            <w:webHidden/>
          </w:rPr>
        </w:r>
        <w:r w:rsidR="006A4B07">
          <w:rPr>
            <w:webHidden/>
          </w:rPr>
          <w:fldChar w:fldCharType="separate"/>
        </w:r>
        <w:r w:rsidR="006A4B07">
          <w:rPr>
            <w:webHidden/>
          </w:rPr>
          <w:t>85</w:t>
        </w:r>
        <w:r w:rsidR="006A4B07">
          <w:rPr>
            <w:webHidden/>
          </w:rPr>
          <w:fldChar w:fldCharType="end"/>
        </w:r>
      </w:hyperlink>
    </w:p>
    <w:p w14:paraId="76C5D1D1" w14:textId="6BCF567C"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52" w:history="1">
        <w:r w:rsidR="006A4B07" w:rsidRPr="00BA68F8">
          <w:rPr>
            <w:rStyle w:val="Hipervnculo"/>
            <w:noProof/>
          </w:rPr>
          <w:t>4.1</w:t>
        </w:r>
        <w:r w:rsidR="006A4B07" w:rsidRPr="00BA68F8">
          <w:rPr>
            <w:rStyle w:val="Hipervnculo"/>
            <w:b/>
            <w:noProof/>
          </w:rPr>
          <w:t xml:space="preserve"> Visión de la Institución</w:t>
        </w:r>
        <w:r w:rsidR="006A4B07">
          <w:rPr>
            <w:noProof/>
            <w:webHidden/>
          </w:rPr>
          <w:tab/>
        </w:r>
        <w:r w:rsidR="006A4B07">
          <w:rPr>
            <w:noProof/>
            <w:webHidden/>
          </w:rPr>
          <w:fldChar w:fldCharType="begin"/>
        </w:r>
        <w:r w:rsidR="006A4B07">
          <w:rPr>
            <w:noProof/>
            <w:webHidden/>
          </w:rPr>
          <w:instrText xml:space="preserve"> PAGEREF _Toc138664952 \h </w:instrText>
        </w:r>
        <w:r w:rsidR="006A4B07">
          <w:rPr>
            <w:noProof/>
            <w:webHidden/>
          </w:rPr>
        </w:r>
        <w:r w:rsidR="006A4B07">
          <w:rPr>
            <w:noProof/>
            <w:webHidden/>
          </w:rPr>
          <w:fldChar w:fldCharType="separate"/>
        </w:r>
        <w:r w:rsidR="006A4B07">
          <w:rPr>
            <w:noProof/>
            <w:webHidden/>
          </w:rPr>
          <w:t>85</w:t>
        </w:r>
        <w:r w:rsidR="006A4B07">
          <w:rPr>
            <w:noProof/>
            <w:webHidden/>
          </w:rPr>
          <w:fldChar w:fldCharType="end"/>
        </w:r>
      </w:hyperlink>
    </w:p>
    <w:p w14:paraId="1E0F4008" w14:textId="260E9FC0"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53" w:history="1">
        <w:r w:rsidR="006A4B07" w:rsidRPr="00BA68F8">
          <w:rPr>
            <w:rStyle w:val="Hipervnculo"/>
            <w:noProof/>
          </w:rPr>
          <w:t>4.2</w:t>
        </w:r>
        <w:r w:rsidR="006A4B07" w:rsidRPr="00BA68F8">
          <w:rPr>
            <w:rStyle w:val="Hipervnculo"/>
            <w:b/>
            <w:noProof/>
          </w:rPr>
          <w:t xml:space="preserve"> Misión de la Institución</w:t>
        </w:r>
        <w:r w:rsidR="006A4B07">
          <w:rPr>
            <w:noProof/>
            <w:webHidden/>
          </w:rPr>
          <w:tab/>
        </w:r>
        <w:r w:rsidR="006A4B07">
          <w:rPr>
            <w:noProof/>
            <w:webHidden/>
          </w:rPr>
          <w:fldChar w:fldCharType="begin"/>
        </w:r>
        <w:r w:rsidR="006A4B07">
          <w:rPr>
            <w:noProof/>
            <w:webHidden/>
          </w:rPr>
          <w:instrText xml:space="preserve"> PAGEREF _Toc138664953 \h </w:instrText>
        </w:r>
        <w:r w:rsidR="006A4B07">
          <w:rPr>
            <w:noProof/>
            <w:webHidden/>
          </w:rPr>
        </w:r>
        <w:r w:rsidR="006A4B07">
          <w:rPr>
            <w:noProof/>
            <w:webHidden/>
          </w:rPr>
          <w:fldChar w:fldCharType="separate"/>
        </w:r>
        <w:r w:rsidR="006A4B07">
          <w:rPr>
            <w:noProof/>
            <w:webHidden/>
          </w:rPr>
          <w:t>85</w:t>
        </w:r>
        <w:r w:rsidR="006A4B07">
          <w:rPr>
            <w:noProof/>
            <w:webHidden/>
          </w:rPr>
          <w:fldChar w:fldCharType="end"/>
        </w:r>
      </w:hyperlink>
    </w:p>
    <w:p w14:paraId="4A18252F" w14:textId="30713F96"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54" w:history="1">
        <w:r w:rsidR="006A4B07" w:rsidRPr="00BA68F8">
          <w:rPr>
            <w:rStyle w:val="Hipervnculo"/>
          </w:rPr>
          <w:t>4.3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Composición de la Estructura Corporativa del ICE.</w:t>
        </w:r>
        <w:r w:rsidR="006A4B07">
          <w:rPr>
            <w:webHidden/>
          </w:rPr>
          <w:tab/>
        </w:r>
        <w:r w:rsidR="006A4B07">
          <w:rPr>
            <w:webHidden/>
          </w:rPr>
          <w:fldChar w:fldCharType="begin"/>
        </w:r>
        <w:r w:rsidR="006A4B07">
          <w:rPr>
            <w:webHidden/>
          </w:rPr>
          <w:instrText xml:space="preserve"> PAGEREF _Toc138664954 \h </w:instrText>
        </w:r>
        <w:r w:rsidR="006A4B07">
          <w:rPr>
            <w:webHidden/>
          </w:rPr>
        </w:r>
        <w:r w:rsidR="006A4B07">
          <w:rPr>
            <w:webHidden/>
          </w:rPr>
          <w:fldChar w:fldCharType="separate"/>
        </w:r>
        <w:r w:rsidR="006A4B07">
          <w:rPr>
            <w:webHidden/>
          </w:rPr>
          <w:t>85</w:t>
        </w:r>
        <w:r w:rsidR="006A4B07">
          <w:rPr>
            <w:webHidden/>
          </w:rPr>
          <w:fldChar w:fldCharType="end"/>
        </w:r>
      </w:hyperlink>
    </w:p>
    <w:p w14:paraId="1B575158" w14:textId="2CDEE03C"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55" w:history="1">
        <w:r w:rsidR="006A4B07" w:rsidRPr="00BA68F8">
          <w:rPr>
            <w:rStyle w:val="Hipervnculo"/>
          </w:rPr>
          <w:t>4.4</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Organigrama</w:t>
        </w:r>
        <w:r w:rsidR="006A4B07">
          <w:rPr>
            <w:webHidden/>
          </w:rPr>
          <w:tab/>
        </w:r>
        <w:r w:rsidR="006A4B07">
          <w:rPr>
            <w:webHidden/>
          </w:rPr>
          <w:fldChar w:fldCharType="begin"/>
        </w:r>
        <w:r w:rsidR="006A4B07">
          <w:rPr>
            <w:webHidden/>
          </w:rPr>
          <w:instrText xml:space="preserve"> PAGEREF _Toc138664955 \h </w:instrText>
        </w:r>
        <w:r w:rsidR="006A4B07">
          <w:rPr>
            <w:webHidden/>
          </w:rPr>
        </w:r>
        <w:r w:rsidR="006A4B07">
          <w:rPr>
            <w:webHidden/>
          </w:rPr>
          <w:fldChar w:fldCharType="separate"/>
        </w:r>
        <w:r w:rsidR="006A4B07">
          <w:rPr>
            <w:webHidden/>
          </w:rPr>
          <w:t>86</w:t>
        </w:r>
        <w:r w:rsidR="006A4B07">
          <w:rPr>
            <w:webHidden/>
          </w:rPr>
          <w:fldChar w:fldCharType="end"/>
        </w:r>
      </w:hyperlink>
    </w:p>
    <w:p w14:paraId="7FD86B91" w14:textId="524CE0FE"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56" w:history="1">
        <w:r w:rsidR="006A4B07" w:rsidRPr="00BA68F8">
          <w:rPr>
            <w:rStyle w:val="Hipervnculo"/>
          </w:rPr>
          <w:t>4.5</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Propiedades, planta y equipo</w:t>
        </w:r>
        <w:r w:rsidR="006A4B07">
          <w:rPr>
            <w:webHidden/>
          </w:rPr>
          <w:tab/>
        </w:r>
        <w:r w:rsidR="006A4B07">
          <w:rPr>
            <w:webHidden/>
          </w:rPr>
          <w:fldChar w:fldCharType="begin"/>
        </w:r>
        <w:r w:rsidR="006A4B07">
          <w:rPr>
            <w:webHidden/>
          </w:rPr>
          <w:instrText xml:space="preserve"> PAGEREF _Toc138664956 \h </w:instrText>
        </w:r>
        <w:r w:rsidR="006A4B07">
          <w:rPr>
            <w:webHidden/>
          </w:rPr>
        </w:r>
        <w:r w:rsidR="006A4B07">
          <w:rPr>
            <w:webHidden/>
          </w:rPr>
          <w:fldChar w:fldCharType="separate"/>
        </w:r>
        <w:r w:rsidR="006A4B07">
          <w:rPr>
            <w:webHidden/>
          </w:rPr>
          <w:t>87</w:t>
        </w:r>
        <w:r w:rsidR="006A4B07">
          <w:rPr>
            <w:webHidden/>
          </w:rPr>
          <w:fldChar w:fldCharType="end"/>
        </w:r>
      </w:hyperlink>
    </w:p>
    <w:p w14:paraId="2CA38845" w14:textId="50CF27D0"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57" w:history="1">
        <w:r w:rsidR="006A4B07" w:rsidRPr="00BA68F8">
          <w:rPr>
            <w:rStyle w:val="Hipervnculo"/>
            <w:noProof/>
          </w:rPr>
          <w:t>Seguros</w:t>
        </w:r>
        <w:r w:rsidR="006A4B07">
          <w:rPr>
            <w:noProof/>
            <w:webHidden/>
          </w:rPr>
          <w:tab/>
        </w:r>
        <w:r w:rsidR="006A4B07">
          <w:rPr>
            <w:noProof/>
            <w:webHidden/>
          </w:rPr>
          <w:fldChar w:fldCharType="begin"/>
        </w:r>
        <w:r w:rsidR="006A4B07">
          <w:rPr>
            <w:noProof/>
            <w:webHidden/>
          </w:rPr>
          <w:instrText xml:space="preserve"> PAGEREF _Toc138664957 \h </w:instrText>
        </w:r>
        <w:r w:rsidR="006A4B07">
          <w:rPr>
            <w:noProof/>
            <w:webHidden/>
          </w:rPr>
        </w:r>
        <w:r w:rsidR="006A4B07">
          <w:rPr>
            <w:noProof/>
            <w:webHidden/>
          </w:rPr>
          <w:fldChar w:fldCharType="separate"/>
        </w:r>
        <w:r w:rsidR="006A4B07">
          <w:rPr>
            <w:noProof/>
            <w:webHidden/>
          </w:rPr>
          <w:t>88</w:t>
        </w:r>
        <w:r w:rsidR="006A4B07">
          <w:rPr>
            <w:noProof/>
            <w:webHidden/>
          </w:rPr>
          <w:fldChar w:fldCharType="end"/>
        </w:r>
      </w:hyperlink>
    </w:p>
    <w:p w14:paraId="18AF9CCE" w14:textId="180E4991" w:rsidR="006A4B07" w:rsidRDefault="00000000">
      <w:pPr>
        <w:pStyle w:val="TDC2"/>
        <w:tabs>
          <w:tab w:val="left" w:pos="660"/>
        </w:tabs>
        <w:rPr>
          <w:rFonts w:asciiTheme="minorHAnsi" w:eastAsiaTheme="minorEastAsia" w:hAnsiTheme="minorHAnsi" w:cstheme="minorBidi"/>
          <w:kern w:val="2"/>
          <w:sz w:val="22"/>
          <w:szCs w:val="22"/>
          <w:lang w:val="es-419" w:eastAsia="es-419"/>
          <w14:ligatures w14:val="standardContextual"/>
        </w:rPr>
      </w:pPr>
      <w:hyperlink w:anchor="_Toc138664958" w:history="1">
        <w:r w:rsidR="006A4B07" w:rsidRPr="00BA68F8">
          <w:rPr>
            <w:rStyle w:val="Hipervnculo"/>
          </w:rPr>
          <w:t>5</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Resultados</w:t>
        </w:r>
        <w:r w:rsidR="006A4B07">
          <w:rPr>
            <w:webHidden/>
          </w:rPr>
          <w:tab/>
        </w:r>
        <w:r w:rsidR="006A4B07">
          <w:rPr>
            <w:webHidden/>
          </w:rPr>
          <w:fldChar w:fldCharType="begin"/>
        </w:r>
        <w:r w:rsidR="006A4B07">
          <w:rPr>
            <w:webHidden/>
          </w:rPr>
          <w:instrText xml:space="preserve"> PAGEREF _Toc138664958 \h </w:instrText>
        </w:r>
        <w:r w:rsidR="006A4B07">
          <w:rPr>
            <w:webHidden/>
          </w:rPr>
        </w:r>
        <w:r w:rsidR="006A4B07">
          <w:rPr>
            <w:webHidden/>
          </w:rPr>
          <w:fldChar w:fldCharType="separate"/>
        </w:r>
        <w:r w:rsidR="006A4B07">
          <w:rPr>
            <w:webHidden/>
          </w:rPr>
          <w:t>89</w:t>
        </w:r>
        <w:r w:rsidR="006A4B07">
          <w:rPr>
            <w:webHidden/>
          </w:rPr>
          <w:fldChar w:fldCharType="end"/>
        </w:r>
      </w:hyperlink>
    </w:p>
    <w:p w14:paraId="241F473B" w14:textId="196A0CCA" w:rsidR="006A4B07" w:rsidRDefault="00000000">
      <w:pPr>
        <w:pStyle w:val="TDC3"/>
        <w:tabs>
          <w:tab w:val="left" w:pos="1100"/>
        </w:tabs>
        <w:rPr>
          <w:rFonts w:asciiTheme="minorHAnsi" w:eastAsiaTheme="minorEastAsia" w:hAnsiTheme="minorHAnsi" w:cstheme="minorBidi"/>
          <w:noProof/>
          <w:kern w:val="2"/>
          <w:sz w:val="22"/>
          <w:szCs w:val="22"/>
          <w:lang w:val="es-419" w:eastAsia="es-419"/>
          <w14:ligatures w14:val="standardContextual"/>
        </w:rPr>
      </w:pPr>
      <w:hyperlink w:anchor="_Toc138664959" w:history="1">
        <w:r w:rsidR="006A4B07" w:rsidRPr="00BA68F8">
          <w:rPr>
            <w:rStyle w:val="Hipervnculo"/>
            <w:noProof/>
          </w:rPr>
          <w:t>5.1</w:t>
        </w:r>
        <w:r w:rsidR="006A4B07">
          <w:rPr>
            <w:rFonts w:asciiTheme="minorHAnsi" w:eastAsiaTheme="minorEastAsia" w:hAnsiTheme="minorHAnsi" w:cstheme="minorBidi"/>
            <w:noProof/>
            <w:kern w:val="2"/>
            <w:sz w:val="22"/>
            <w:szCs w:val="22"/>
            <w:lang w:val="es-419" w:eastAsia="es-419"/>
            <w14:ligatures w14:val="standardContextual"/>
          </w:rPr>
          <w:tab/>
        </w:r>
        <w:r w:rsidR="006A4B07" w:rsidRPr="00BA68F8">
          <w:rPr>
            <w:rStyle w:val="Hipervnculo"/>
            <w:noProof/>
          </w:rPr>
          <w:t>Resultados de Operación y Financieros</w:t>
        </w:r>
        <w:r w:rsidR="006A4B07">
          <w:rPr>
            <w:noProof/>
            <w:webHidden/>
          </w:rPr>
          <w:tab/>
        </w:r>
        <w:r w:rsidR="006A4B07">
          <w:rPr>
            <w:noProof/>
            <w:webHidden/>
          </w:rPr>
          <w:fldChar w:fldCharType="begin"/>
        </w:r>
        <w:r w:rsidR="006A4B07">
          <w:rPr>
            <w:noProof/>
            <w:webHidden/>
          </w:rPr>
          <w:instrText xml:space="preserve"> PAGEREF _Toc138664959 \h </w:instrText>
        </w:r>
        <w:r w:rsidR="006A4B07">
          <w:rPr>
            <w:noProof/>
            <w:webHidden/>
          </w:rPr>
        </w:r>
        <w:r w:rsidR="006A4B07">
          <w:rPr>
            <w:noProof/>
            <w:webHidden/>
          </w:rPr>
          <w:fldChar w:fldCharType="separate"/>
        </w:r>
        <w:r w:rsidR="006A4B07">
          <w:rPr>
            <w:noProof/>
            <w:webHidden/>
          </w:rPr>
          <w:t>89</w:t>
        </w:r>
        <w:r w:rsidR="006A4B07">
          <w:rPr>
            <w:noProof/>
            <w:webHidden/>
          </w:rPr>
          <w:fldChar w:fldCharType="end"/>
        </w:r>
      </w:hyperlink>
    </w:p>
    <w:p w14:paraId="5EFC6558" w14:textId="3DFE6FAD"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0" w:history="1">
        <w:r w:rsidR="006A4B07" w:rsidRPr="00BA68F8">
          <w:rPr>
            <w:rStyle w:val="Hipervnculo"/>
          </w:rPr>
          <w:t>5.2</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Cumplimiento de metas</w:t>
        </w:r>
        <w:r w:rsidR="006A4B07">
          <w:rPr>
            <w:webHidden/>
          </w:rPr>
          <w:tab/>
        </w:r>
        <w:r w:rsidR="006A4B07">
          <w:rPr>
            <w:webHidden/>
          </w:rPr>
          <w:fldChar w:fldCharType="begin"/>
        </w:r>
        <w:r w:rsidR="006A4B07">
          <w:rPr>
            <w:webHidden/>
          </w:rPr>
          <w:instrText xml:space="preserve"> PAGEREF _Toc138664960 \h </w:instrText>
        </w:r>
        <w:r w:rsidR="006A4B07">
          <w:rPr>
            <w:webHidden/>
          </w:rPr>
        </w:r>
        <w:r w:rsidR="006A4B07">
          <w:rPr>
            <w:webHidden/>
          </w:rPr>
          <w:fldChar w:fldCharType="separate"/>
        </w:r>
        <w:r w:rsidR="006A4B07">
          <w:rPr>
            <w:webHidden/>
          </w:rPr>
          <w:t>91</w:t>
        </w:r>
        <w:r w:rsidR="006A4B07">
          <w:rPr>
            <w:webHidden/>
          </w:rPr>
          <w:fldChar w:fldCharType="end"/>
        </w:r>
      </w:hyperlink>
    </w:p>
    <w:p w14:paraId="13C8C2AE" w14:textId="570BF155"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1" w:history="1">
        <w:r w:rsidR="006A4B07" w:rsidRPr="00BA68F8">
          <w:rPr>
            <w:rStyle w:val="Hipervnculo"/>
          </w:rPr>
          <w:t>5.3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Políticas de Investigación y Desarrollo</w:t>
        </w:r>
        <w:r w:rsidR="006A4B07">
          <w:rPr>
            <w:webHidden/>
          </w:rPr>
          <w:tab/>
        </w:r>
        <w:r w:rsidR="006A4B07">
          <w:rPr>
            <w:webHidden/>
          </w:rPr>
          <w:fldChar w:fldCharType="begin"/>
        </w:r>
        <w:r w:rsidR="006A4B07">
          <w:rPr>
            <w:webHidden/>
          </w:rPr>
          <w:instrText xml:space="preserve"> PAGEREF _Toc138664961 \h </w:instrText>
        </w:r>
        <w:r w:rsidR="006A4B07">
          <w:rPr>
            <w:webHidden/>
          </w:rPr>
        </w:r>
        <w:r w:rsidR="006A4B07">
          <w:rPr>
            <w:webHidden/>
          </w:rPr>
          <w:fldChar w:fldCharType="separate"/>
        </w:r>
        <w:r w:rsidR="006A4B07">
          <w:rPr>
            <w:webHidden/>
          </w:rPr>
          <w:t>92</w:t>
        </w:r>
        <w:r w:rsidR="006A4B07">
          <w:rPr>
            <w:webHidden/>
          </w:rPr>
          <w:fldChar w:fldCharType="end"/>
        </w:r>
      </w:hyperlink>
    </w:p>
    <w:p w14:paraId="17E13B4B" w14:textId="6DF1F9A0" w:rsidR="006A4B07" w:rsidRDefault="00000000">
      <w:pPr>
        <w:pStyle w:val="TDC2"/>
        <w:tabs>
          <w:tab w:val="left" w:pos="660"/>
        </w:tabs>
        <w:rPr>
          <w:rFonts w:asciiTheme="minorHAnsi" w:eastAsiaTheme="minorEastAsia" w:hAnsiTheme="minorHAnsi" w:cstheme="minorBidi"/>
          <w:kern w:val="2"/>
          <w:sz w:val="22"/>
          <w:szCs w:val="22"/>
          <w:lang w:val="es-419" w:eastAsia="es-419"/>
          <w14:ligatures w14:val="standardContextual"/>
        </w:rPr>
      </w:pPr>
      <w:hyperlink w:anchor="_Toc138664962" w:history="1">
        <w:r w:rsidR="006A4B07" w:rsidRPr="00BA68F8">
          <w:rPr>
            <w:rStyle w:val="Hipervnculo"/>
          </w:rPr>
          <w:t>6</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Directores, personal gerencial y empleados del Instituto Costarricense de Electricidad.</w:t>
        </w:r>
        <w:r w:rsidR="006A4B07">
          <w:rPr>
            <w:webHidden/>
          </w:rPr>
          <w:tab/>
        </w:r>
        <w:r w:rsidR="006A4B07">
          <w:rPr>
            <w:webHidden/>
          </w:rPr>
          <w:fldChar w:fldCharType="begin"/>
        </w:r>
        <w:r w:rsidR="006A4B07">
          <w:rPr>
            <w:webHidden/>
          </w:rPr>
          <w:instrText xml:space="preserve"> PAGEREF _Toc138664962 \h </w:instrText>
        </w:r>
        <w:r w:rsidR="006A4B07">
          <w:rPr>
            <w:webHidden/>
          </w:rPr>
        </w:r>
        <w:r w:rsidR="006A4B07">
          <w:rPr>
            <w:webHidden/>
          </w:rPr>
          <w:fldChar w:fldCharType="separate"/>
        </w:r>
        <w:r w:rsidR="006A4B07">
          <w:rPr>
            <w:webHidden/>
          </w:rPr>
          <w:t>93</w:t>
        </w:r>
        <w:r w:rsidR="006A4B07">
          <w:rPr>
            <w:webHidden/>
          </w:rPr>
          <w:fldChar w:fldCharType="end"/>
        </w:r>
      </w:hyperlink>
    </w:p>
    <w:p w14:paraId="36AC7AEC" w14:textId="3CC0EE01"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3" w:history="1">
        <w:r w:rsidR="006A4B07" w:rsidRPr="00BA68F8">
          <w:rPr>
            <w:rStyle w:val="Hipervnculo"/>
          </w:rPr>
          <w:t>6.1</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Directores del Instituto Costarricense de Electricidad.</w:t>
        </w:r>
        <w:r w:rsidR="006A4B07">
          <w:rPr>
            <w:webHidden/>
          </w:rPr>
          <w:tab/>
        </w:r>
        <w:r w:rsidR="006A4B07">
          <w:rPr>
            <w:webHidden/>
          </w:rPr>
          <w:fldChar w:fldCharType="begin"/>
        </w:r>
        <w:r w:rsidR="006A4B07">
          <w:rPr>
            <w:webHidden/>
          </w:rPr>
          <w:instrText xml:space="preserve"> PAGEREF _Toc138664963 \h </w:instrText>
        </w:r>
        <w:r w:rsidR="006A4B07">
          <w:rPr>
            <w:webHidden/>
          </w:rPr>
        </w:r>
        <w:r w:rsidR="006A4B07">
          <w:rPr>
            <w:webHidden/>
          </w:rPr>
          <w:fldChar w:fldCharType="separate"/>
        </w:r>
        <w:r w:rsidR="006A4B07">
          <w:rPr>
            <w:webHidden/>
          </w:rPr>
          <w:t>93</w:t>
        </w:r>
        <w:r w:rsidR="006A4B07">
          <w:rPr>
            <w:webHidden/>
          </w:rPr>
          <w:fldChar w:fldCharType="end"/>
        </w:r>
      </w:hyperlink>
    </w:p>
    <w:p w14:paraId="11F47EF0" w14:textId="2202A04F"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64" w:history="1">
        <w:r w:rsidR="006A4B07" w:rsidRPr="00BA68F8">
          <w:rPr>
            <w:rStyle w:val="Hipervnculo"/>
            <w:noProof/>
          </w:rPr>
          <w:t>6.1.1 Miembros de la Junta Directiva y Fiscal</w:t>
        </w:r>
        <w:r w:rsidR="006A4B07">
          <w:rPr>
            <w:noProof/>
            <w:webHidden/>
          </w:rPr>
          <w:tab/>
        </w:r>
        <w:r w:rsidR="006A4B07">
          <w:rPr>
            <w:noProof/>
            <w:webHidden/>
          </w:rPr>
          <w:fldChar w:fldCharType="begin"/>
        </w:r>
        <w:r w:rsidR="006A4B07">
          <w:rPr>
            <w:noProof/>
            <w:webHidden/>
          </w:rPr>
          <w:instrText xml:space="preserve"> PAGEREF _Toc138664964 \h </w:instrText>
        </w:r>
        <w:r w:rsidR="006A4B07">
          <w:rPr>
            <w:noProof/>
            <w:webHidden/>
          </w:rPr>
        </w:r>
        <w:r w:rsidR="006A4B07">
          <w:rPr>
            <w:noProof/>
            <w:webHidden/>
          </w:rPr>
          <w:fldChar w:fldCharType="separate"/>
        </w:r>
        <w:r w:rsidR="006A4B07">
          <w:rPr>
            <w:noProof/>
            <w:webHidden/>
          </w:rPr>
          <w:t>93</w:t>
        </w:r>
        <w:r w:rsidR="006A4B07">
          <w:rPr>
            <w:noProof/>
            <w:webHidden/>
          </w:rPr>
          <w:fldChar w:fldCharType="end"/>
        </w:r>
      </w:hyperlink>
    </w:p>
    <w:p w14:paraId="6BB67070" w14:textId="335B3939"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65" w:history="1">
        <w:r w:rsidR="006A4B07" w:rsidRPr="00BA68F8">
          <w:rPr>
            <w:rStyle w:val="Hipervnculo"/>
            <w:noProof/>
          </w:rPr>
          <w:t>6.1.2 Funciones de los miembros de la Junta Directiva</w:t>
        </w:r>
        <w:r w:rsidR="006A4B07">
          <w:rPr>
            <w:noProof/>
            <w:webHidden/>
          </w:rPr>
          <w:tab/>
        </w:r>
        <w:r w:rsidR="006A4B07">
          <w:rPr>
            <w:noProof/>
            <w:webHidden/>
          </w:rPr>
          <w:fldChar w:fldCharType="begin"/>
        </w:r>
        <w:r w:rsidR="006A4B07">
          <w:rPr>
            <w:noProof/>
            <w:webHidden/>
          </w:rPr>
          <w:instrText xml:space="preserve"> PAGEREF _Toc138664965 \h </w:instrText>
        </w:r>
        <w:r w:rsidR="006A4B07">
          <w:rPr>
            <w:noProof/>
            <w:webHidden/>
          </w:rPr>
        </w:r>
        <w:r w:rsidR="006A4B07">
          <w:rPr>
            <w:noProof/>
            <w:webHidden/>
          </w:rPr>
          <w:fldChar w:fldCharType="separate"/>
        </w:r>
        <w:r w:rsidR="006A4B07">
          <w:rPr>
            <w:noProof/>
            <w:webHidden/>
          </w:rPr>
          <w:t>94</w:t>
        </w:r>
        <w:r w:rsidR="006A4B07">
          <w:rPr>
            <w:noProof/>
            <w:webHidden/>
          </w:rPr>
          <w:fldChar w:fldCharType="end"/>
        </w:r>
      </w:hyperlink>
    </w:p>
    <w:p w14:paraId="51045BD1" w14:textId="7DC8E8BC" w:rsidR="006A4B07" w:rsidRDefault="00000000">
      <w:pPr>
        <w:pStyle w:val="TDC3"/>
        <w:rPr>
          <w:rFonts w:asciiTheme="minorHAnsi" w:eastAsiaTheme="minorEastAsia" w:hAnsiTheme="minorHAnsi" w:cstheme="minorBidi"/>
          <w:noProof/>
          <w:kern w:val="2"/>
          <w:sz w:val="22"/>
          <w:szCs w:val="22"/>
          <w:lang w:val="es-419" w:eastAsia="es-419"/>
          <w14:ligatures w14:val="standardContextual"/>
        </w:rPr>
      </w:pPr>
      <w:hyperlink w:anchor="_Toc138664966" w:history="1">
        <w:r w:rsidR="006A4B07" w:rsidRPr="00BA68F8">
          <w:rPr>
            <w:rStyle w:val="Hipervnculo"/>
            <w:noProof/>
          </w:rPr>
          <w:t>6.1.3 Prácticas de selección del Consejo Directivo</w:t>
        </w:r>
        <w:r w:rsidR="006A4B07">
          <w:rPr>
            <w:noProof/>
            <w:webHidden/>
          </w:rPr>
          <w:tab/>
        </w:r>
        <w:r w:rsidR="006A4B07">
          <w:rPr>
            <w:noProof/>
            <w:webHidden/>
          </w:rPr>
          <w:fldChar w:fldCharType="begin"/>
        </w:r>
        <w:r w:rsidR="006A4B07">
          <w:rPr>
            <w:noProof/>
            <w:webHidden/>
          </w:rPr>
          <w:instrText xml:space="preserve"> PAGEREF _Toc138664966 \h </w:instrText>
        </w:r>
        <w:r w:rsidR="006A4B07">
          <w:rPr>
            <w:noProof/>
            <w:webHidden/>
          </w:rPr>
        </w:r>
        <w:r w:rsidR="006A4B07">
          <w:rPr>
            <w:noProof/>
            <w:webHidden/>
          </w:rPr>
          <w:fldChar w:fldCharType="separate"/>
        </w:r>
        <w:r w:rsidR="006A4B07">
          <w:rPr>
            <w:noProof/>
            <w:webHidden/>
          </w:rPr>
          <w:t>94</w:t>
        </w:r>
        <w:r w:rsidR="006A4B07">
          <w:rPr>
            <w:noProof/>
            <w:webHidden/>
          </w:rPr>
          <w:fldChar w:fldCharType="end"/>
        </w:r>
      </w:hyperlink>
    </w:p>
    <w:p w14:paraId="2F4346C1" w14:textId="3F5854F6"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7" w:history="1">
        <w:r w:rsidR="006A4B07" w:rsidRPr="00BA68F8">
          <w:rPr>
            <w:rStyle w:val="Hipervnculo"/>
          </w:rPr>
          <w:t>6.2</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Personal Gerencial</w:t>
        </w:r>
        <w:r w:rsidR="006A4B07">
          <w:rPr>
            <w:webHidden/>
          </w:rPr>
          <w:tab/>
        </w:r>
        <w:r w:rsidR="006A4B07">
          <w:rPr>
            <w:webHidden/>
          </w:rPr>
          <w:fldChar w:fldCharType="begin"/>
        </w:r>
        <w:r w:rsidR="006A4B07">
          <w:rPr>
            <w:webHidden/>
          </w:rPr>
          <w:instrText xml:space="preserve"> PAGEREF _Toc138664967 \h </w:instrText>
        </w:r>
        <w:r w:rsidR="006A4B07">
          <w:rPr>
            <w:webHidden/>
          </w:rPr>
        </w:r>
        <w:r w:rsidR="006A4B07">
          <w:rPr>
            <w:webHidden/>
          </w:rPr>
          <w:fldChar w:fldCharType="separate"/>
        </w:r>
        <w:r w:rsidR="006A4B07">
          <w:rPr>
            <w:webHidden/>
          </w:rPr>
          <w:t>96</w:t>
        </w:r>
        <w:r w:rsidR="006A4B07">
          <w:rPr>
            <w:webHidden/>
          </w:rPr>
          <w:fldChar w:fldCharType="end"/>
        </w:r>
      </w:hyperlink>
    </w:p>
    <w:p w14:paraId="42FE2E2F" w14:textId="7452C40D"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8" w:history="1">
        <w:r w:rsidR="006A4B07" w:rsidRPr="00BA68F8">
          <w:rPr>
            <w:rStyle w:val="Hipervnculo"/>
          </w:rPr>
          <w:t>6.3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Personal</w:t>
        </w:r>
        <w:r w:rsidR="006A4B07">
          <w:rPr>
            <w:webHidden/>
          </w:rPr>
          <w:tab/>
        </w:r>
        <w:r w:rsidR="006A4B07">
          <w:rPr>
            <w:webHidden/>
          </w:rPr>
          <w:fldChar w:fldCharType="begin"/>
        </w:r>
        <w:r w:rsidR="006A4B07">
          <w:rPr>
            <w:webHidden/>
          </w:rPr>
          <w:instrText xml:space="preserve"> PAGEREF _Toc138664968 \h </w:instrText>
        </w:r>
        <w:r w:rsidR="006A4B07">
          <w:rPr>
            <w:webHidden/>
          </w:rPr>
        </w:r>
        <w:r w:rsidR="006A4B07">
          <w:rPr>
            <w:webHidden/>
          </w:rPr>
          <w:fldChar w:fldCharType="separate"/>
        </w:r>
        <w:r w:rsidR="006A4B07">
          <w:rPr>
            <w:webHidden/>
          </w:rPr>
          <w:t>101</w:t>
        </w:r>
        <w:r w:rsidR="006A4B07">
          <w:rPr>
            <w:webHidden/>
          </w:rPr>
          <w:fldChar w:fldCharType="end"/>
        </w:r>
      </w:hyperlink>
    </w:p>
    <w:p w14:paraId="2C3E9346" w14:textId="62D77A7B"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69" w:history="1">
        <w:r w:rsidR="006A4B07" w:rsidRPr="00BA68F8">
          <w:rPr>
            <w:rStyle w:val="Hipervnculo"/>
          </w:rPr>
          <w:t>6.4</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Agrupaciones Gremiales</w:t>
        </w:r>
        <w:r w:rsidR="006A4B07">
          <w:rPr>
            <w:webHidden/>
          </w:rPr>
          <w:tab/>
        </w:r>
        <w:r w:rsidR="006A4B07">
          <w:rPr>
            <w:webHidden/>
          </w:rPr>
          <w:fldChar w:fldCharType="begin"/>
        </w:r>
        <w:r w:rsidR="006A4B07">
          <w:rPr>
            <w:webHidden/>
          </w:rPr>
          <w:instrText xml:space="preserve"> PAGEREF _Toc138664969 \h </w:instrText>
        </w:r>
        <w:r w:rsidR="006A4B07">
          <w:rPr>
            <w:webHidden/>
          </w:rPr>
        </w:r>
        <w:r w:rsidR="006A4B07">
          <w:rPr>
            <w:webHidden/>
          </w:rPr>
          <w:fldChar w:fldCharType="separate"/>
        </w:r>
        <w:r w:rsidR="006A4B07">
          <w:rPr>
            <w:webHidden/>
          </w:rPr>
          <w:t>101</w:t>
        </w:r>
        <w:r w:rsidR="006A4B07">
          <w:rPr>
            <w:webHidden/>
          </w:rPr>
          <w:fldChar w:fldCharType="end"/>
        </w:r>
      </w:hyperlink>
    </w:p>
    <w:p w14:paraId="77A4A1DE" w14:textId="723F507E"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70" w:history="1">
        <w:r w:rsidR="006A4B07" w:rsidRPr="00BA68F8">
          <w:rPr>
            <w:rStyle w:val="Hipervnculo"/>
          </w:rPr>
          <w:t>6.5</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Participación social de directores, personal gerencial, y empleados</w:t>
        </w:r>
        <w:r w:rsidR="006A4B07">
          <w:rPr>
            <w:webHidden/>
          </w:rPr>
          <w:tab/>
        </w:r>
        <w:r w:rsidR="006A4B07">
          <w:rPr>
            <w:webHidden/>
          </w:rPr>
          <w:fldChar w:fldCharType="begin"/>
        </w:r>
        <w:r w:rsidR="006A4B07">
          <w:rPr>
            <w:webHidden/>
          </w:rPr>
          <w:instrText xml:space="preserve"> PAGEREF _Toc138664970 \h </w:instrText>
        </w:r>
        <w:r w:rsidR="006A4B07">
          <w:rPr>
            <w:webHidden/>
          </w:rPr>
        </w:r>
        <w:r w:rsidR="006A4B07">
          <w:rPr>
            <w:webHidden/>
          </w:rPr>
          <w:fldChar w:fldCharType="separate"/>
        </w:r>
        <w:r w:rsidR="006A4B07">
          <w:rPr>
            <w:webHidden/>
          </w:rPr>
          <w:t>101</w:t>
        </w:r>
        <w:r w:rsidR="006A4B07">
          <w:rPr>
            <w:webHidden/>
          </w:rPr>
          <w:fldChar w:fldCharType="end"/>
        </w:r>
      </w:hyperlink>
    </w:p>
    <w:p w14:paraId="01E2BFC2" w14:textId="5318E1C2"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971" w:history="1">
        <w:r w:rsidR="006A4B07" w:rsidRPr="00BA68F8">
          <w:rPr>
            <w:rStyle w:val="Hipervnculo"/>
          </w:rPr>
          <w:t>7</w:t>
        </w:r>
        <w:r w:rsidR="006A4B07">
          <w:rPr>
            <w:rFonts w:asciiTheme="minorHAnsi" w:eastAsiaTheme="minorEastAsia" w:hAnsiTheme="minorHAnsi" w:cstheme="minorBidi"/>
            <w:b w:val="0"/>
            <w:kern w:val="2"/>
            <w:sz w:val="22"/>
            <w:szCs w:val="22"/>
            <w:lang w:val="es-419" w:eastAsia="es-419"/>
            <w14:ligatures w14:val="standardContextual"/>
          </w:rPr>
          <w:tab/>
        </w:r>
        <w:r w:rsidR="006A4B07" w:rsidRPr="00BA68F8">
          <w:rPr>
            <w:rStyle w:val="Hipervnculo"/>
          </w:rPr>
          <w:t>Participaciones significativas y transacciones con partes relacionadas</w:t>
        </w:r>
        <w:r w:rsidR="006A4B07">
          <w:rPr>
            <w:webHidden/>
          </w:rPr>
          <w:tab/>
        </w:r>
        <w:r w:rsidR="006A4B07">
          <w:rPr>
            <w:webHidden/>
          </w:rPr>
          <w:fldChar w:fldCharType="begin"/>
        </w:r>
        <w:r w:rsidR="006A4B07">
          <w:rPr>
            <w:webHidden/>
          </w:rPr>
          <w:instrText xml:space="preserve"> PAGEREF _Toc138664971 \h </w:instrText>
        </w:r>
        <w:r w:rsidR="006A4B07">
          <w:rPr>
            <w:webHidden/>
          </w:rPr>
        </w:r>
        <w:r w:rsidR="006A4B07">
          <w:rPr>
            <w:webHidden/>
          </w:rPr>
          <w:fldChar w:fldCharType="separate"/>
        </w:r>
        <w:r w:rsidR="006A4B07">
          <w:rPr>
            <w:webHidden/>
          </w:rPr>
          <w:t>101</w:t>
        </w:r>
        <w:r w:rsidR="006A4B07">
          <w:rPr>
            <w:webHidden/>
          </w:rPr>
          <w:fldChar w:fldCharType="end"/>
        </w:r>
      </w:hyperlink>
    </w:p>
    <w:p w14:paraId="72E31D8F" w14:textId="68B55743" w:rsidR="006A4B07" w:rsidRDefault="00000000">
      <w:pPr>
        <w:pStyle w:val="TDC2"/>
        <w:rPr>
          <w:rFonts w:asciiTheme="minorHAnsi" w:eastAsiaTheme="minorEastAsia" w:hAnsiTheme="minorHAnsi" w:cstheme="minorBidi"/>
          <w:kern w:val="2"/>
          <w:sz w:val="22"/>
          <w:szCs w:val="22"/>
          <w:lang w:val="es-419" w:eastAsia="es-419"/>
          <w14:ligatures w14:val="standardContextual"/>
        </w:rPr>
      </w:pPr>
      <w:hyperlink w:anchor="_Toc138664972" w:history="1">
        <w:r w:rsidR="006A4B07" w:rsidRPr="00BA68F8">
          <w:rPr>
            <w:rStyle w:val="Hipervnculo"/>
          </w:rPr>
          <w:t>7.1 Transacciones con partes relacionadas</w:t>
        </w:r>
        <w:r w:rsidR="006A4B07">
          <w:rPr>
            <w:webHidden/>
          </w:rPr>
          <w:tab/>
        </w:r>
        <w:r w:rsidR="006A4B07">
          <w:rPr>
            <w:webHidden/>
          </w:rPr>
          <w:fldChar w:fldCharType="begin"/>
        </w:r>
        <w:r w:rsidR="006A4B07">
          <w:rPr>
            <w:webHidden/>
          </w:rPr>
          <w:instrText xml:space="preserve"> PAGEREF _Toc138664972 \h </w:instrText>
        </w:r>
        <w:r w:rsidR="006A4B07">
          <w:rPr>
            <w:webHidden/>
          </w:rPr>
        </w:r>
        <w:r w:rsidR="006A4B07">
          <w:rPr>
            <w:webHidden/>
          </w:rPr>
          <w:fldChar w:fldCharType="separate"/>
        </w:r>
        <w:r w:rsidR="006A4B07">
          <w:rPr>
            <w:webHidden/>
          </w:rPr>
          <w:t>101</w:t>
        </w:r>
        <w:r w:rsidR="006A4B07">
          <w:rPr>
            <w:webHidden/>
          </w:rPr>
          <w:fldChar w:fldCharType="end"/>
        </w:r>
      </w:hyperlink>
    </w:p>
    <w:p w14:paraId="0DF1FDFA" w14:textId="2986A04B"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73" w:history="1">
        <w:r w:rsidR="006A4B07" w:rsidRPr="00BA68F8">
          <w:rPr>
            <w:rStyle w:val="Hipervnculo"/>
          </w:rPr>
          <w:t>7.2</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Participaciones significativas</w:t>
        </w:r>
        <w:r w:rsidR="006A4B07">
          <w:rPr>
            <w:webHidden/>
          </w:rPr>
          <w:tab/>
        </w:r>
        <w:r w:rsidR="006A4B07">
          <w:rPr>
            <w:webHidden/>
          </w:rPr>
          <w:fldChar w:fldCharType="begin"/>
        </w:r>
        <w:r w:rsidR="006A4B07">
          <w:rPr>
            <w:webHidden/>
          </w:rPr>
          <w:instrText xml:space="preserve"> PAGEREF _Toc138664973 \h </w:instrText>
        </w:r>
        <w:r w:rsidR="006A4B07">
          <w:rPr>
            <w:webHidden/>
          </w:rPr>
        </w:r>
        <w:r w:rsidR="006A4B07">
          <w:rPr>
            <w:webHidden/>
          </w:rPr>
          <w:fldChar w:fldCharType="separate"/>
        </w:r>
        <w:r w:rsidR="006A4B07">
          <w:rPr>
            <w:webHidden/>
          </w:rPr>
          <w:t>102</w:t>
        </w:r>
        <w:r w:rsidR="006A4B07">
          <w:rPr>
            <w:webHidden/>
          </w:rPr>
          <w:fldChar w:fldCharType="end"/>
        </w:r>
      </w:hyperlink>
    </w:p>
    <w:p w14:paraId="17A91027" w14:textId="0C867195" w:rsidR="006A4B07" w:rsidRDefault="00000000">
      <w:pPr>
        <w:pStyle w:val="TDC2"/>
        <w:tabs>
          <w:tab w:val="left" w:pos="880"/>
        </w:tabs>
        <w:rPr>
          <w:rFonts w:asciiTheme="minorHAnsi" w:eastAsiaTheme="minorEastAsia" w:hAnsiTheme="minorHAnsi" w:cstheme="minorBidi"/>
          <w:kern w:val="2"/>
          <w:sz w:val="22"/>
          <w:szCs w:val="22"/>
          <w:lang w:val="es-419" w:eastAsia="es-419"/>
          <w14:ligatures w14:val="standardContextual"/>
        </w:rPr>
      </w:pPr>
      <w:hyperlink w:anchor="_Toc138664974" w:history="1">
        <w:r w:rsidR="006A4B07" w:rsidRPr="00BA68F8">
          <w:rPr>
            <w:rStyle w:val="Hipervnculo"/>
          </w:rPr>
          <w:t>7.3</w:t>
        </w:r>
        <w:r w:rsidR="006A4B07">
          <w:rPr>
            <w:rFonts w:asciiTheme="minorHAnsi" w:eastAsiaTheme="minorEastAsia" w:hAnsiTheme="minorHAnsi" w:cstheme="minorBidi"/>
            <w:kern w:val="2"/>
            <w:sz w:val="22"/>
            <w:szCs w:val="22"/>
            <w:lang w:val="es-419" w:eastAsia="es-419"/>
            <w14:ligatures w14:val="standardContextual"/>
          </w:rPr>
          <w:tab/>
        </w:r>
        <w:r w:rsidR="006A4B07" w:rsidRPr="00BA68F8">
          <w:rPr>
            <w:rStyle w:val="Hipervnculo"/>
          </w:rPr>
          <w:t>Participaciones de asesores y consejeros</w:t>
        </w:r>
        <w:r w:rsidR="006A4B07">
          <w:rPr>
            <w:webHidden/>
          </w:rPr>
          <w:tab/>
        </w:r>
        <w:r w:rsidR="006A4B07">
          <w:rPr>
            <w:webHidden/>
          </w:rPr>
          <w:fldChar w:fldCharType="begin"/>
        </w:r>
        <w:r w:rsidR="006A4B07">
          <w:rPr>
            <w:webHidden/>
          </w:rPr>
          <w:instrText xml:space="preserve"> PAGEREF _Toc138664974 \h </w:instrText>
        </w:r>
        <w:r w:rsidR="006A4B07">
          <w:rPr>
            <w:webHidden/>
          </w:rPr>
        </w:r>
        <w:r w:rsidR="006A4B07">
          <w:rPr>
            <w:webHidden/>
          </w:rPr>
          <w:fldChar w:fldCharType="separate"/>
        </w:r>
        <w:r w:rsidR="006A4B07">
          <w:rPr>
            <w:webHidden/>
          </w:rPr>
          <w:t>102</w:t>
        </w:r>
        <w:r w:rsidR="006A4B07">
          <w:rPr>
            <w:webHidden/>
          </w:rPr>
          <w:fldChar w:fldCharType="end"/>
        </w:r>
      </w:hyperlink>
    </w:p>
    <w:p w14:paraId="4BDD61B6" w14:textId="25FC9CB9"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975" w:history="1">
        <w:r w:rsidR="006A4B07" w:rsidRPr="00BA68F8">
          <w:rPr>
            <w:rStyle w:val="Hipervnculo"/>
          </w:rPr>
          <w:t>8</w:t>
        </w:r>
        <w:r w:rsidR="006A4B07">
          <w:rPr>
            <w:rFonts w:asciiTheme="minorHAnsi" w:eastAsiaTheme="minorEastAsia" w:hAnsiTheme="minorHAnsi" w:cstheme="minorBidi"/>
            <w:b w:val="0"/>
            <w:kern w:val="2"/>
            <w:sz w:val="22"/>
            <w:szCs w:val="22"/>
            <w:lang w:val="es-419" w:eastAsia="es-419"/>
            <w14:ligatures w14:val="standardContextual"/>
          </w:rPr>
          <w:tab/>
        </w:r>
        <w:r w:rsidR="006A4B07" w:rsidRPr="00BA68F8">
          <w:rPr>
            <w:rStyle w:val="Hipervnculo"/>
          </w:rPr>
          <w:t>Periodicidad de la información a los inversionistas</w:t>
        </w:r>
        <w:r w:rsidR="006A4B07">
          <w:rPr>
            <w:webHidden/>
          </w:rPr>
          <w:tab/>
        </w:r>
        <w:r w:rsidR="006A4B07">
          <w:rPr>
            <w:webHidden/>
          </w:rPr>
          <w:fldChar w:fldCharType="begin"/>
        </w:r>
        <w:r w:rsidR="006A4B07">
          <w:rPr>
            <w:webHidden/>
          </w:rPr>
          <w:instrText xml:space="preserve"> PAGEREF _Toc138664975 \h </w:instrText>
        </w:r>
        <w:r w:rsidR="006A4B07">
          <w:rPr>
            <w:webHidden/>
          </w:rPr>
        </w:r>
        <w:r w:rsidR="006A4B07">
          <w:rPr>
            <w:webHidden/>
          </w:rPr>
          <w:fldChar w:fldCharType="separate"/>
        </w:r>
        <w:r w:rsidR="006A4B07">
          <w:rPr>
            <w:webHidden/>
          </w:rPr>
          <w:t>102</w:t>
        </w:r>
        <w:r w:rsidR="006A4B07">
          <w:rPr>
            <w:webHidden/>
          </w:rPr>
          <w:fldChar w:fldCharType="end"/>
        </w:r>
      </w:hyperlink>
    </w:p>
    <w:p w14:paraId="06FA7024" w14:textId="02277BF3" w:rsidR="006A4B07" w:rsidRDefault="00000000">
      <w:pPr>
        <w:pStyle w:val="TDC1"/>
        <w:rPr>
          <w:rFonts w:asciiTheme="minorHAnsi" w:eastAsiaTheme="minorEastAsia" w:hAnsiTheme="minorHAnsi" w:cstheme="minorBidi"/>
          <w:b w:val="0"/>
          <w:kern w:val="2"/>
          <w:sz w:val="22"/>
          <w:szCs w:val="22"/>
          <w:lang w:val="es-419" w:eastAsia="es-419"/>
          <w14:ligatures w14:val="standardContextual"/>
        </w:rPr>
      </w:pPr>
      <w:hyperlink w:anchor="_Toc138664976" w:history="1">
        <w:r w:rsidR="006A4B07" w:rsidRPr="00BA68F8">
          <w:rPr>
            <w:rStyle w:val="Hipervnculo"/>
          </w:rPr>
          <w:t>9</w:t>
        </w:r>
        <w:r w:rsidR="006A4B07">
          <w:rPr>
            <w:rFonts w:asciiTheme="minorHAnsi" w:eastAsiaTheme="minorEastAsia" w:hAnsiTheme="minorHAnsi" w:cstheme="minorBidi"/>
            <w:b w:val="0"/>
            <w:kern w:val="2"/>
            <w:sz w:val="22"/>
            <w:szCs w:val="22"/>
            <w:lang w:val="es-419" w:eastAsia="es-419"/>
            <w14:ligatures w14:val="standardContextual"/>
          </w:rPr>
          <w:tab/>
        </w:r>
        <w:r w:rsidR="006A4B07" w:rsidRPr="00BA68F8">
          <w:rPr>
            <w:rStyle w:val="Hipervnculo"/>
          </w:rPr>
          <w:t>Anexos</w:t>
        </w:r>
        <w:r w:rsidR="006A4B07">
          <w:rPr>
            <w:webHidden/>
          </w:rPr>
          <w:tab/>
        </w:r>
        <w:r w:rsidR="006A4B07">
          <w:rPr>
            <w:webHidden/>
          </w:rPr>
          <w:fldChar w:fldCharType="begin"/>
        </w:r>
        <w:r w:rsidR="006A4B07">
          <w:rPr>
            <w:webHidden/>
          </w:rPr>
          <w:instrText xml:space="preserve"> PAGEREF _Toc138664976 \h </w:instrText>
        </w:r>
        <w:r w:rsidR="006A4B07">
          <w:rPr>
            <w:webHidden/>
          </w:rPr>
        </w:r>
        <w:r w:rsidR="006A4B07">
          <w:rPr>
            <w:webHidden/>
          </w:rPr>
          <w:fldChar w:fldCharType="separate"/>
        </w:r>
        <w:r w:rsidR="006A4B07">
          <w:rPr>
            <w:webHidden/>
          </w:rPr>
          <w:t>103</w:t>
        </w:r>
        <w:r w:rsidR="006A4B07">
          <w:rPr>
            <w:webHidden/>
          </w:rPr>
          <w:fldChar w:fldCharType="end"/>
        </w:r>
      </w:hyperlink>
    </w:p>
    <w:p w14:paraId="6EDA1FF7" w14:textId="50ACD391" w:rsidR="00A65F5F" w:rsidRDefault="00DC50E4" w:rsidP="00A65F5F">
      <w:pPr>
        <w:jc w:val="center"/>
        <w:rPr>
          <w:rFonts w:ascii="Arial" w:hAnsi="Arial" w:cs="Arial"/>
          <w:noProof/>
          <w:sz w:val="28"/>
          <w:szCs w:val="26"/>
        </w:rPr>
      </w:pPr>
      <w:r>
        <w:rPr>
          <w:rFonts w:ascii="Arial" w:hAnsi="Arial" w:cs="Arial"/>
          <w:noProof/>
          <w:sz w:val="28"/>
          <w:szCs w:val="26"/>
        </w:rPr>
        <w:fldChar w:fldCharType="end"/>
      </w:r>
    </w:p>
    <w:p w14:paraId="410947FB" w14:textId="77777777" w:rsidR="00DC50E4" w:rsidRDefault="00DC50E4" w:rsidP="00A65F5F">
      <w:pPr>
        <w:jc w:val="center"/>
        <w:rPr>
          <w:rFonts w:ascii="Arial" w:hAnsi="Arial" w:cs="Arial"/>
          <w:noProof/>
          <w:sz w:val="28"/>
          <w:szCs w:val="26"/>
        </w:rPr>
      </w:pPr>
    </w:p>
    <w:p w14:paraId="475B15EF" w14:textId="77777777" w:rsidR="005236AF" w:rsidRDefault="005236AF" w:rsidP="00A65F5F">
      <w:pPr>
        <w:jc w:val="center"/>
        <w:rPr>
          <w:rFonts w:ascii="Arial" w:hAnsi="Arial" w:cs="Arial"/>
          <w:noProof/>
          <w:sz w:val="28"/>
          <w:szCs w:val="26"/>
        </w:rPr>
      </w:pPr>
    </w:p>
    <w:p w14:paraId="79A4C71B" w14:textId="77777777" w:rsidR="005236AF" w:rsidRDefault="005236AF" w:rsidP="00A65F5F">
      <w:pPr>
        <w:jc w:val="center"/>
        <w:rPr>
          <w:rFonts w:ascii="Arial" w:hAnsi="Arial" w:cs="Arial"/>
          <w:noProof/>
          <w:sz w:val="28"/>
          <w:szCs w:val="26"/>
        </w:rPr>
      </w:pPr>
    </w:p>
    <w:p w14:paraId="5D9B3FD3" w14:textId="77777777" w:rsidR="005236AF" w:rsidRDefault="005236AF" w:rsidP="00A65F5F">
      <w:pPr>
        <w:jc w:val="center"/>
        <w:rPr>
          <w:rFonts w:ascii="Arial" w:hAnsi="Arial" w:cs="Arial"/>
          <w:noProof/>
          <w:sz w:val="28"/>
          <w:szCs w:val="26"/>
        </w:rPr>
      </w:pPr>
    </w:p>
    <w:p w14:paraId="0189FA32" w14:textId="77777777" w:rsidR="005236AF" w:rsidRDefault="005236AF" w:rsidP="00A65F5F">
      <w:pPr>
        <w:jc w:val="center"/>
        <w:rPr>
          <w:rFonts w:ascii="Arial" w:hAnsi="Arial" w:cs="Arial"/>
          <w:noProof/>
          <w:sz w:val="28"/>
          <w:szCs w:val="26"/>
        </w:rPr>
      </w:pPr>
    </w:p>
    <w:p w14:paraId="1C1B4EC3" w14:textId="77777777" w:rsidR="00C863A6" w:rsidRDefault="00C863A6" w:rsidP="00A65F5F">
      <w:pPr>
        <w:jc w:val="center"/>
        <w:rPr>
          <w:rFonts w:ascii="Arial" w:hAnsi="Arial" w:cs="Arial"/>
          <w:noProof/>
          <w:sz w:val="28"/>
          <w:szCs w:val="26"/>
        </w:rPr>
      </w:pPr>
    </w:p>
    <w:p w14:paraId="5EA95BDD" w14:textId="77777777" w:rsidR="00A65F5F" w:rsidRDefault="00A65F5F" w:rsidP="00A65F5F">
      <w:pPr>
        <w:jc w:val="center"/>
        <w:rPr>
          <w:b/>
          <w:sz w:val="28"/>
        </w:rPr>
      </w:pPr>
      <w:r w:rsidRPr="00B25514">
        <w:rPr>
          <w:b/>
          <w:noProof/>
          <w:sz w:val="28"/>
          <w:lang w:val="es-CR" w:eastAsia="es-CR"/>
        </w:rPr>
        <w:drawing>
          <wp:inline distT="0" distB="0" distL="0" distR="0" wp14:anchorId="3DF0CEA9" wp14:editId="5A34EFC0">
            <wp:extent cx="731520" cy="731520"/>
            <wp:effectExtent l="0" t="0" r="0" b="0"/>
            <wp:docPr id="3" name="Picture 3" descr="logo_ice_fondo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ce_fondo_az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2362300" w14:textId="77777777" w:rsidR="00A65F5F" w:rsidRDefault="00A65F5F" w:rsidP="00A65F5F">
      <w:pPr>
        <w:jc w:val="center"/>
        <w:rPr>
          <w:b/>
          <w:sz w:val="28"/>
        </w:rPr>
      </w:pPr>
    </w:p>
    <w:p w14:paraId="11E97831" w14:textId="77777777" w:rsidR="00A65F5F" w:rsidRDefault="00A65F5F" w:rsidP="00A65F5F">
      <w:pPr>
        <w:jc w:val="center"/>
        <w:rPr>
          <w:b/>
          <w:sz w:val="28"/>
        </w:rPr>
      </w:pPr>
    </w:p>
    <w:p w14:paraId="44B4A453" w14:textId="77777777" w:rsidR="00A65F5F" w:rsidRPr="00FE04D3" w:rsidRDefault="00A65F5F" w:rsidP="00A65F5F">
      <w:pPr>
        <w:pStyle w:val="Ttulo"/>
        <w:jc w:val="center"/>
        <w:rPr>
          <w:sz w:val="28"/>
          <w:szCs w:val="28"/>
        </w:rPr>
      </w:pPr>
      <w:r w:rsidRPr="00FE04D3">
        <w:rPr>
          <w:sz w:val="28"/>
          <w:szCs w:val="28"/>
        </w:rPr>
        <w:t>Prospecto de Inversión</w:t>
      </w:r>
    </w:p>
    <w:p w14:paraId="6110EAA7" w14:textId="77777777" w:rsidR="00A65F5F" w:rsidRPr="00FE04D3" w:rsidRDefault="00A65F5F" w:rsidP="00A65F5F">
      <w:pPr>
        <w:pStyle w:val="Ttulo"/>
        <w:jc w:val="center"/>
        <w:rPr>
          <w:sz w:val="28"/>
          <w:szCs w:val="28"/>
        </w:rPr>
      </w:pPr>
      <w:r w:rsidRPr="00FE04D3">
        <w:rPr>
          <w:sz w:val="28"/>
          <w:szCs w:val="28"/>
        </w:rPr>
        <w:t>INSTITUTO COSTARRICENSE DE ELECTRICIDAD</w:t>
      </w:r>
    </w:p>
    <w:p w14:paraId="6106F516" w14:textId="77777777" w:rsidR="00A65F5F" w:rsidRPr="00752F36" w:rsidRDefault="00A65F5F" w:rsidP="00A65F5F">
      <w:pPr>
        <w:pStyle w:val="Ttulo1"/>
      </w:pPr>
      <w:bookmarkStart w:id="0" w:name="_Toc343675968"/>
      <w:bookmarkStart w:id="1" w:name="_Toc358619334"/>
      <w:bookmarkStart w:id="2" w:name="_Toc358620599"/>
      <w:bookmarkStart w:id="3" w:name="_Toc358621806"/>
      <w:bookmarkStart w:id="4" w:name="_Toc358622783"/>
      <w:bookmarkStart w:id="5" w:name="_Toc421264422"/>
      <w:bookmarkStart w:id="6" w:name="_Toc26357096"/>
      <w:bookmarkStart w:id="7" w:name="_Toc138664884"/>
      <w:r w:rsidRPr="00752F36">
        <w:t>CAPÍTULO 1</w:t>
      </w:r>
      <w:bookmarkEnd w:id="0"/>
      <w:bookmarkEnd w:id="1"/>
      <w:bookmarkEnd w:id="2"/>
      <w:bookmarkEnd w:id="3"/>
      <w:bookmarkEnd w:id="4"/>
      <w:bookmarkEnd w:id="5"/>
      <w:bookmarkEnd w:id="6"/>
      <w:bookmarkEnd w:id="7"/>
    </w:p>
    <w:p w14:paraId="62F546D3" w14:textId="77777777" w:rsidR="00A65F5F" w:rsidRPr="00805657" w:rsidRDefault="00A65F5F" w:rsidP="00A65F5F">
      <w:pPr>
        <w:pStyle w:val="Ttulo1"/>
      </w:pPr>
      <w:bookmarkStart w:id="8" w:name="_Toc146599920"/>
      <w:bookmarkStart w:id="9" w:name="_Toc304737144"/>
      <w:bookmarkStart w:id="10" w:name="_Toc343675969"/>
      <w:bookmarkStart w:id="11" w:name="_Toc358619335"/>
      <w:bookmarkStart w:id="12" w:name="_Toc358620600"/>
      <w:bookmarkStart w:id="13" w:name="_Toc358621807"/>
      <w:bookmarkStart w:id="14" w:name="_Toc358622784"/>
      <w:bookmarkStart w:id="15" w:name="_Toc421264423"/>
      <w:bookmarkStart w:id="16" w:name="_Toc26357097"/>
      <w:bookmarkStart w:id="17" w:name="_Toc138664885"/>
      <w:r w:rsidRPr="00805657">
        <w:t xml:space="preserve">Información </w:t>
      </w:r>
      <w:r w:rsidRPr="00100EC8">
        <w:t>sobre</w:t>
      </w:r>
      <w:r w:rsidRPr="00805657">
        <w:t xml:space="preserve"> las emisiones, la oferta e identificación de los directores, gerentes y asesores involucrados con el proceso de oferta pública</w:t>
      </w:r>
      <w:bookmarkEnd w:id="8"/>
      <w:bookmarkEnd w:id="9"/>
      <w:bookmarkEnd w:id="10"/>
      <w:bookmarkEnd w:id="11"/>
      <w:bookmarkEnd w:id="12"/>
      <w:bookmarkEnd w:id="13"/>
      <w:bookmarkEnd w:id="14"/>
      <w:bookmarkEnd w:id="15"/>
      <w:bookmarkEnd w:id="16"/>
      <w:bookmarkEnd w:id="17"/>
    </w:p>
    <w:p w14:paraId="76AAF3D3" w14:textId="77777777" w:rsidR="00A65F5F" w:rsidRPr="006D0D76" w:rsidRDefault="00A65F5F" w:rsidP="00A65F5F">
      <w:pPr>
        <w:pStyle w:val="Ttulo2"/>
        <w:numPr>
          <w:ilvl w:val="1"/>
          <w:numId w:val="1"/>
        </w:numPr>
      </w:pPr>
      <w:bookmarkStart w:id="18" w:name="_Toc304737145"/>
      <w:bookmarkStart w:id="19" w:name="_Toc343675970"/>
      <w:bookmarkStart w:id="20" w:name="_Toc358619336"/>
      <w:bookmarkStart w:id="21" w:name="_Toc358620601"/>
      <w:bookmarkStart w:id="22" w:name="_Toc358621808"/>
      <w:bookmarkStart w:id="23" w:name="_Toc358622785"/>
      <w:bookmarkStart w:id="24" w:name="_Toc421264424"/>
      <w:bookmarkStart w:id="25" w:name="_Toc26357098"/>
      <w:bookmarkStart w:id="26" w:name="_Toc138664886"/>
      <w:r w:rsidRPr="006D0D76">
        <w:t>Información sobre la emisión y la oferta</w:t>
      </w:r>
      <w:bookmarkEnd w:id="18"/>
      <w:bookmarkEnd w:id="19"/>
      <w:bookmarkEnd w:id="20"/>
      <w:bookmarkEnd w:id="21"/>
      <w:bookmarkEnd w:id="22"/>
      <w:bookmarkEnd w:id="23"/>
      <w:bookmarkEnd w:id="24"/>
      <w:bookmarkEnd w:id="25"/>
      <w:bookmarkEnd w:id="26"/>
    </w:p>
    <w:p w14:paraId="1758EA6E" w14:textId="77777777" w:rsidR="00A65F5F" w:rsidRPr="00AA675F" w:rsidRDefault="00A65F5F" w:rsidP="00A65F5F">
      <w:pPr>
        <w:pStyle w:val="Ttulo3"/>
        <w:numPr>
          <w:ilvl w:val="2"/>
          <w:numId w:val="1"/>
        </w:numPr>
        <w:ind w:left="142" w:hanging="709"/>
      </w:pPr>
      <w:bookmarkStart w:id="27" w:name="_Toc229150713"/>
      <w:bookmarkStart w:id="28" w:name="_Toc358619337"/>
      <w:bookmarkStart w:id="29" w:name="_Toc358620602"/>
      <w:bookmarkStart w:id="30" w:name="_Toc358621809"/>
      <w:bookmarkStart w:id="31" w:name="_Toc358622786"/>
      <w:bookmarkStart w:id="32" w:name="_Toc421264425"/>
      <w:bookmarkStart w:id="33" w:name="_Toc26357099"/>
      <w:bookmarkStart w:id="34" w:name="_Toc138664887"/>
      <w:bookmarkStart w:id="35" w:name="_Toc304737146"/>
      <w:bookmarkStart w:id="36" w:name="_Toc343675971"/>
      <w:bookmarkEnd w:id="27"/>
      <w:r>
        <w:t>Programas de Emisiones de Bonos Estandarizados</w:t>
      </w:r>
      <w:bookmarkEnd w:id="28"/>
      <w:bookmarkEnd w:id="29"/>
      <w:bookmarkEnd w:id="30"/>
      <w:bookmarkEnd w:id="31"/>
      <w:bookmarkEnd w:id="32"/>
      <w:bookmarkEnd w:id="33"/>
      <w:bookmarkEnd w:id="34"/>
      <w:r>
        <w:t xml:space="preserve"> </w:t>
      </w:r>
      <w:bookmarkEnd w:id="35"/>
      <w:bookmarkEnd w:id="36"/>
    </w:p>
    <w:p w14:paraId="49262C57" w14:textId="77777777" w:rsidR="00A65F5F" w:rsidRPr="001B4E32" w:rsidRDefault="00A65F5F" w:rsidP="00A65F5F">
      <w:pPr>
        <w:ind w:left="-540" w:right="-25"/>
      </w:pPr>
    </w:p>
    <w:p w14:paraId="587FF027" w14:textId="77777777" w:rsidR="00A65F5F" w:rsidRDefault="00A65F5F" w:rsidP="00A65F5F">
      <w:pPr>
        <w:ind w:left="-540" w:right="-25"/>
        <w:rPr>
          <w:lang w:val="es-ES"/>
        </w:rPr>
      </w:pPr>
      <w:r>
        <w:rPr>
          <w:lang w:val="es-ES"/>
        </w:rPr>
        <w:t xml:space="preserve">La inscripción de </w:t>
      </w:r>
      <w:r w:rsidRPr="00B25939">
        <w:rPr>
          <w:lang w:val="es-ES"/>
        </w:rPr>
        <w:t>los programas A, B de emisiones</w:t>
      </w:r>
      <w:r>
        <w:rPr>
          <w:lang w:val="es-ES"/>
        </w:rPr>
        <w:t xml:space="preserve"> de bonos estandarizados, en colones y dólares moneda del curso legal de los Estados Unidos, respectivamente, del Instituto Costarricense de Electricidad fue autorizada por el Consejo Directivo en el artículo 5 de la sesión 5868 celebrada el 14 de abril </w:t>
      </w:r>
      <w:r w:rsidRPr="00BD4C70">
        <w:rPr>
          <w:lang w:val="es-ES"/>
        </w:rPr>
        <w:t>del 200</w:t>
      </w:r>
      <w:r>
        <w:rPr>
          <w:lang w:val="es-ES"/>
        </w:rPr>
        <w:t>9.  El Programa E en dólares fue autorizado por el Consejo Directivo en el artículo 2 del acta de la Sesión del 7 de setiembre del 2010.</w:t>
      </w:r>
      <w:r w:rsidRPr="006A1175">
        <w:rPr>
          <w:lang w:val="es-ES"/>
        </w:rPr>
        <w:t xml:space="preserve"> </w:t>
      </w:r>
      <w:r>
        <w:rPr>
          <w:lang w:val="es-ES"/>
        </w:rPr>
        <w:t xml:space="preserve"> El Programa F fue autorizado por el Consejo Directivo en el artículo 2 de la sesión 5921 del 7 de setiembre de 2010.</w:t>
      </w:r>
    </w:p>
    <w:p w14:paraId="3F2CED3F" w14:textId="77777777" w:rsidR="00A65F5F" w:rsidRDefault="00A65F5F" w:rsidP="00A65F5F">
      <w:pPr>
        <w:ind w:left="-540" w:right="-25"/>
        <w:rPr>
          <w:lang w:val="es-ES"/>
        </w:rPr>
      </w:pPr>
    </w:p>
    <w:p w14:paraId="39966500" w14:textId="77777777" w:rsidR="00A65F5F" w:rsidRDefault="00A65F5F" w:rsidP="00A65F5F">
      <w:pPr>
        <w:ind w:left="-540" w:right="-25"/>
        <w:rPr>
          <w:lang w:val="es-ES"/>
        </w:rPr>
      </w:pPr>
      <w:r>
        <w:rPr>
          <w:lang w:val="es-ES"/>
        </w:rPr>
        <w:t>El Programa G fue autorizado por el Consejo Directivo en el artículo 3 de la sesión 6142 del 20 de julio de 2015.</w:t>
      </w:r>
    </w:p>
    <w:p w14:paraId="59AD860B" w14:textId="77777777" w:rsidR="00A65F5F" w:rsidRDefault="00A65F5F" w:rsidP="00A65F5F">
      <w:pPr>
        <w:ind w:left="-540" w:right="-25"/>
        <w:rPr>
          <w:lang w:val="es-ES"/>
        </w:rPr>
      </w:pPr>
    </w:p>
    <w:p w14:paraId="70FC340D" w14:textId="0E56B874" w:rsidR="00A65F5F" w:rsidRDefault="00A65F5F" w:rsidP="00A65F5F">
      <w:pPr>
        <w:ind w:left="-540" w:right="-25"/>
        <w:rPr>
          <w:lang w:val="es-ES"/>
        </w:rPr>
      </w:pPr>
      <w:r>
        <w:rPr>
          <w:lang w:val="es-ES"/>
        </w:rPr>
        <w:t xml:space="preserve">Las características de los programas A, B, E, F </w:t>
      </w:r>
      <w:r w:rsidRPr="007365AC">
        <w:rPr>
          <w:lang w:val="es-ES"/>
        </w:rPr>
        <w:t>y G</w:t>
      </w:r>
      <w:r w:rsidR="000B497F">
        <w:rPr>
          <w:lang w:val="es-ES"/>
        </w:rPr>
        <w:t xml:space="preserve"> de bonos estandarizados, </w:t>
      </w:r>
      <w:r>
        <w:rPr>
          <w:lang w:val="es-ES"/>
        </w:rPr>
        <w:t>se detallan a continuación:</w:t>
      </w:r>
    </w:p>
    <w:p w14:paraId="1665D1AF" w14:textId="77777777" w:rsidR="00A65F5F" w:rsidRDefault="00A65F5F" w:rsidP="00A65F5F">
      <w:pPr>
        <w:ind w:left="-540" w:right="-25"/>
        <w:rPr>
          <w:lang w:val="es-ES"/>
        </w:rPr>
      </w:pPr>
    </w:p>
    <w:p w14:paraId="5B29DCE5" w14:textId="77777777" w:rsidR="00A65F5F" w:rsidRDefault="00A65F5F" w:rsidP="00A65F5F">
      <w:pPr>
        <w:ind w:left="-540" w:right="-25"/>
        <w:rPr>
          <w:lang w:val="es-ES"/>
        </w:rPr>
      </w:pPr>
    </w:p>
    <w:p w14:paraId="700C317A" w14:textId="77777777" w:rsidR="00A65F5F" w:rsidRDefault="00A65F5F" w:rsidP="00A65F5F">
      <w:pPr>
        <w:ind w:left="-540" w:right="-25"/>
        <w:rPr>
          <w:lang w:val="es-ES"/>
        </w:rPr>
      </w:pPr>
    </w:p>
    <w:p w14:paraId="1ED311EE" w14:textId="77777777" w:rsidR="00A65F5F" w:rsidRDefault="00A65F5F" w:rsidP="00A65F5F">
      <w:pPr>
        <w:ind w:left="-540" w:right="-25"/>
        <w:rPr>
          <w:lang w:val="es-ES"/>
        </w:rPr>
      </w:pPr>
    </w:p>
    <w:p w14:paraId="22638DA3" w14:textId="77777777" w:rsidR="00A65F5F" w:rsidRDefault="00A65F5F" w:rsidP="00A65F5F">
      <w:pPr>
        <w:ind w:left="-540" w:right="-25"/>
        <w:rPr>
          <w:lang w:val="es-ES"/>
        </w:rPr>
      </w:pPr>
    </w:p>
    <w:p w14:paraId="603D6634" w14:textId="77777777" w:rsidR="00A65F5F" w:rsidRDefault="00A65F5F" w:rsidP="00A65F5F">
      <w:pPr>
        <w:ind w:right="-25"/>
        <w:rPr>
          <w:sz w:val="18"/>
          <w:szCs w:val="18"/>
          <w:vertAlign w:val="superscript"/>
        </w:rPr>
      </w:pPr>
    </w:p>
    <w:p w14:paraId="73328C2A" w14:textId="77777777" w:rsidR="00A65F5F" w:rsidRDefault="00A65F5F" w:rsidP="00A65F5F">
      <w:pPr>
        <w:ind w:right="-25"/>
        <w:rPr>
          <w:sz w:val="18"/>
          <w:szCs w:val="18"/>
          <w:vertAlign w:val="superscript"/>
        </w:rPr>
      </w:pPr>
    </w:p>
    <w:p w14:paraId="560190CB" w14:textId="77777777" w:rsidR="005236AF" w:rsidRDefault="005236AF" w:rsidP="00A65F5F">
      <w:pPr>
        <w:ind w:right="-25"/>
        <w:rPr>
          <w:sz w:val="18"/>
          <w:szCs w:val="18"/>
          <w:vertAlign w:val="superscript"/>
        </w:rPr>
      </w:pPr>
    </w:p>
    <w:p w14:paraId="38000977" w14:textId="77777777" w:rsidR="005236AF" w:rsidRDefault="005236AF" w:rsidP="00A65F5F">
      <w:pPr>
        <w:ind w:right="-25"/>
        <w:rPr>
          <w:sz w:val="18"/>
          <w:szCs w:val="18"/>
          <w:vertAlign w:val="superscript"/>
        </w:rPr>
      </w:pPr>
    </w:p>
    <w:p w14:paraId="75380F55" w14:textId="77777777" w:rsidR="00A65F5F" w:rsidRDefault="00A65F5F" w:rsidP="00A65F5F">
      <w:pPr>
        <w:ind w:right="-25"/>
        <w:rPr>
          <w:sz w:val="18"/>
          <w:szCs w:val="18"/>
          <w:vertAlign w:val="superscript"/>
        </w:rPr>
      </w:pPr>
    </w:p>
    <w:p w14:paraId="02B11543" w14:textId="77777777" w:rsidR="00A65F5F" w:rsidRDefault="00A65F5F" w:rsidP="00A65F5F">
      <w:pPr>
        <w:ind w:right="-25"/>
        <w:rPr>
          <w:sz w:val="18"/>
          <w:szCs w:val="18"/>
          <w:vertAlign w:val="superscript"/>
        </w:rPr>
      </w:pPr>
    </w:p>
    <w:p w14:paraId="5E8955AC" w14:textId="77777777" w:rsidR="00A65F5F" w:rsidRDefault="00A65F5F" w:rsidP="00A65F5F">
      <w:pPr>
        <w:ind w:right="-25"/>
        <w:rPr>
          <w:sz w:val="18"/>
          <w:szCs w:val="18"/>
          <w:vertAlign w:val="superscript"/>
        </w:rPr>
      </w:pPr>
    </w:p>
    <w:p w14:paraId="55A89960" w14:textId="77777777" w:rsidR="00A65F5F" w:rsidRDefault="00A65F5F" w:rsidP="00A65F5F">
      <w:pPr>
        <w:ind w:right="-25"/>
        <w:rPr>
          <w:sz w:val="18"/>
          <w:szCs w:val="18"/>
          <w:vertAlign w:val="superscript"/>
        </w:rPr>
      </w:pPr>
    </w:p>
    <w:tbl>
      <w:tblPr>
        <w:tblW w:w="10740" w:type="dxa"/>
        <w:jc w:val="center"/>
        <w:tblCellMar>
          <w:left w:w="70" w:type="dxa"/>
          <w:right w:w="70" w:type="dxa"/>
        </w:tblCellMar>
        <w:tblLook w:val="04A0" w:firstRow="1" w:lastRow="0" w:firstColumn="1" w:lastColumn="0" w:noHBand="0" w:noVBand="1"/>
      </w:tblPr>
      <w:tblGrid>
        <w:gridCol w:w="3200"/>
        <w:gridCol w:w="7540"/>
      </w:tblGrid>
      <w:tr w:rsidR="00B637B0" w:rsidRPr="00B637B0" w14:paraId="1D98848E" w14:textId="77777777" w:rsidTr="00BA08EC">
        <w:trPr>
          <w:trHeight w:val="300"/>
          <w:jc w:val="center"/>
        </w:trPr>
        <w:tc>
          <w:tcPr>
            <w:tcW w:w="3200" w:type="dxa"/>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7FA23A43" w14:textId="77777777" w:rsidR="00B637B0" w:rsidRPr="00B637B0" w:rsidRDefault="00B637B0" w:rsidP="00B637B0">
            <w:pPr>
              <w:ind w:right="0"/>
              <w:jc w:val="left"/>
              <w:rPr>
                <w:color w:val="FFFFFF"/>
                <w:sz w:val="18"/>
                <w:szCs w:val="18"/>
                <w:lang w:val="es-CR" w:eastAsia="es-CR"/>
              </w:rPr>
            </w:pPr>
            <w:r w:rsidRPr="00B637B0">
              <w:rPr>
                <w:color w:val="FFFFFF"/>
                <w:sz w:val="18"/>
                <w:szCs w:val="18"/>
                <w:lang w:val="es-CR" w:eastAsia="es-CR"/>
              </w:rPr>
              <w:t>Clase de Instrumentos</w:t>
            </w:r>
          </w:p>
        </w:tc>
        <w:tc>
          <w:tcPr>
            <w:tcW w:w="7540" w:type="dxa"/>
            <w:tcBorders>
              <w:top w:val="single" w:sz="4" w:space="0" w:color="auto"/>
              <w:left w:val="nil"/>
              <w:bottom w:val="single" w:sz="4" w:space="0" w:color="auto"/>
              <w:right w:val="single" w:sz="4" w:space="0" w:color="auto"/>
            </w:tcBorders>
            <w:shd w:val="clear" w:color="000000" w:fill="16365C"/>
            <w:noWrap/>
            <w:vAlign w:val="bottom"/>
            <w:hideMark/>
          </w:tcPr>
          <w:p w14:paraId="0DA211FB" w14:textId="77777777" w:rsidR="00B637B0" w:rsidRPr="00B637B0" w:rsidRDefault="00B637B0" w:rsidP="00B637B0">
            <w:pPr>
              <w:ind w:right="0"/>
              <w:jc w:val="center"/>
              <w:rPr>
                <w:color w:val="FFFFFF"/>
                <w:sz w:val="18"/>
                <w:szCs w:val="18"/>
                <w:lang w:val="es-CR" w:eastAsia="es-CR"/>
              </w:rPr>
            </w:pPr>
            <w:r w:rsidRPr="00B637B0">
              <w:rPr>
                <w:color w:val="FFFFFF"/>
                <w:sz w:val="18"/>
                <w:szCs w:val="18"/>
                <w:lang w:val="es-CR" w:eastAsia="es-CR"/>
              </w:rPr>
              <w:t>Bonos Estandarizados</w:t>
            </w:r>
          </w:p>
        </w:tc>
      </w:tr>
      <w:tr w:rsidR="00B637B0" w:rsidRPr="00B637B0" w14:paraId="3A0B8AA2"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000000" w:fill="16365C"/>
            <w:noWrap/>
            <w:vAlign w:val="bottom"/>
            <w:hideMark/>
          </w:tcPr>
          <w:p w14:paraId="7F22022A" w14:textId="77777777" w:rsidR="00B637B0" w:rsidRPr="00B637B0" w:rsidRDefault="00B637B0" w:rsidP="00B637B0">
            <w:pPr>
              <w:ind w:right="0"/>
              <w:jc w:val="left"/>
              <w:rPr>
                <w:color w:val="FFFFFF"/>
                <w:sz w:val="18"/>
                <w:szCs w:val="18"/>
                <w:lang w:val="es-CR" w:eastAsia="es-CR"/>
              </w:rPr>
            </w:pPr>
            <w:r w:rsidRPr="00B637B0">
              <w:rPr>
                <w:color w:val="FFFFFF"/>
                <w:sz w:val="18"/>
                <w:szCs w:val="18"/>
                <w:lang w:val="es-CR" w:eastAsia="es-CR"/>
              </w:rPr>
              <w:t>Nombre del Programa</w:t>
            </w:r>
          </w:p>
        </w:tc>
        <w:tc>
          <w:tcPr>
            <w:tcW w:w="7540" w:type="dxa"/>
            <w:tcBorders>
              <w:top w:val="single" w:sz="4" w:space="0" w:color="auto"/>
              <w:left w:val="nil"/>
              <w:bottom w:val="single" w:sz="4" w:space="0" w:color="auto"/>
              <w:right w:val="single" w:sz="4" w:space="0" w:color="auto"/>
            </w:tcBorders>
            <w:shd w:val="clear" w:color="000000" w:fill="16365C"/>
            <w:noWrap/>
            <w:vAlign w:val="bottom"/>
            <w:hideMark/>
          </w:tcPr>
          <w:p w14:paraId="56BA0981" w14:textId="77777777" w:rsidR="00B637B0" w:rsidRPr="00B637B0" w:rsidRDefault="00B637B0" w:rsidP="00B637B0">
            <w:pPr>
              <w:ind w:right="0"/>
              <w:jc w:val="center"/>
              <w:rPr>
                <w:color w:val="FFFFFF"/>
                <w:sz w:val="18"/>
                <w:szCs w:val="18"/>
                <w:lang w:val="es-CR" w:eastAsia="es-CR"/>
              </w:rPr>
            </w:pPr>
            <w:r w:rsidRPr="00B637B0">
              <w:rPr>
                <w:color w:val="FFFFFF"/>
                <w:sz w:val="18"/>
                <w:szCs w:val="18"/>
                <w:lang w:val="es-CR" w:eastAsia="es-CR"/>
              </w:rPr>
              <w:t>Programa A de Emisiones de Bonos Estandarizados</w:t>
            </w:r>
          </w:p>
        </w:tc>
      </w:tr>
      <w:tr w:rsidR="00B637B0" w:rsidRPr="00B637B0" w14:paraId="295EFC2A"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7D22A7D"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Monto total del programa y moneda</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04B4DBC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¢200.000.000.000 colones</w:t>
            </w:r>
          </w:p>
        </w:tc>
      </w:tr>
      <w:tr w:rsidR="00B637B0" w:rsidRPr="00B637B0" w14:paraId="50454416"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BFC9F9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Monto total inscrito</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65823C04"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¢200.000.000.000  colones</w:t>
            </w:r>
          </w:p>
        </w:tc>
      </w:tr>
      <w:tr w:rsidR="00B637B0" w:rsidRPr="00B637B0" w14:paraId="02DF1D0C"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C51E9A5"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Monto por inscribir</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3D7D16C3"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w:t>
            </w:r>
          </w:p>
        </w:tc>
      </w:tr>
      <w:tr w:rsidR="00B637B0" w:rsidRPr="00B637B0" w14:paraId="312A4776" w14:textId="77777777" w:rsidTr="00BA08EC">
        <w:trPr>
          <w:trHeight w:val="495"/>
          <w:jc w:val="center"/>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469FF8B"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Series del Programa que se encuentran emitidas</w:t>
            </w:r>
          </w:p>
        </w:tc>
        <w:tc>
          <w:tcPr>
            <w:tcW w:w="7540" w:type="dxa"/>
            <w:tcBorders>
              <w:top w:val="single" w:sz="4" w:space="0" w:color="auto"/>
              <w:left w:val="nil"/>
              <w:bottom w:val="single" w:sz="4" w:space="0" w:color="auto"/>
              <w:right w:val="single" w:sz="4" w:space="0" w:color="000000"/>
            </w:tcBorders>
            <w:shd w:val="clear" w:color="auto" w:fill="auto"/>
            <w:vAlign w:val="bottom"/>
            <w:hideMark/>
          </w:tcPr>
          <w:p w14:paraId="317D5B74"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A2</w:t>
            </w:r>
          </w:p>
        </w:tc>
      </w:tr>
      <w:tr w:rsidR="00B637B0" w:rsidRPr="00B637B0" w14:paraId="4C7310F9"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E0436EF"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Plazo</w:t>
            </w:r>
          </w:p>
        </w:tc>
        <w:tc>
          <w:tcPr>
            <w:tcW w:w="7540" w:type="dxa"/>
            <w:tcBorders>
              <w:top w:val="single" w:sz="4" w:space="0" w:color="auto"/>
              <w:left w:val="nil"/>
              <w:bottom w:val="single" w:sz="4" w:space="0" w:color="auto"/>
              <w:right w:val="single" w:sz="4" w:space="0" w:color="000000"/>
            </w:tcBorders>
            <w:shd w:val="clear" w:color="auto" w:fill="auto"/>
            <w:noWrap/>
            <w:vAlign w:val="bottom"/>
            <w:hideMark/>
          </w:tcPr>
          <w:p w14:paraId="42BC4A16"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15 años</w:t>
            </w:r>
          </w:p>
        </w:tc>
      </w:tr>
      <w:tr w:rsidR="00B637B0" w:rsidRPr="00B637B0" w14:paraId="35780393" w14:textId="77777777" w:rsidTr="00BA08EC">
        <w:trPr>
          <w:trHeight w:val="49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55EF845"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Monto de cada emisión</w:t>
            </w:r>
          </w:p>
        </w:tc>
        <w:tc>
          <w:tcPr>
            <w:tcW w:w="7540" w:type="dxa"/>
            <w:tcBorders>
              <w:top w:val="single" w:sz="4" w:space="0" w:color="auto"/>
              <w:left w:val="nil"/>
              <w:bottom w:val="single" w:sz="4" w:space="0" w:color="auto"/>
              <w:right w:val="single" w:sz="4" w:space="0" w:color="000000"/>
            </w:tcBorders>
            <w:shd w:val="clear" w:color="auto" w:fill="auto"/>
            <w:vAlign w:val="bottom"/>
            <w:hideMark/>
          </w:tcPr>
          <w:p w14:paraId="57676AC6"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¢50.000.000.000,00 cincuenta mil millones de colones</w:t>
            </w:r>
          </w:p>
        </w:tc>
      </w:tr>
      <w:tr w:rsidR="00B637B0" w:rsidRPr="00B637B0" w14:paraId="1244BF19" w14:textId="77777777" w:rsidTr="00BA08EC">
        <w:trPr>
          <w:trHeight w:val="49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82DE97B"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Monto colocado por emisión</w:t>
            </w:r>
          </w:p>
        </w:tc>
        <w:tc>
          <w:tcPr>
            <w:tcW w:w="7540" w:type="dxa"/>
            <w:tcBorders>
              <w:top w:val="single" w:sz="4" w:space="0" w:color="auto"/>
              <w:left w:val="nil"/>
              <w:bottom w:val="single" w:sz="4" w:space="0" w:color="auto"/>
              <w:right w:val="single" w:sz="4" w:space="0" w:color="000000"/>
            </w:tcBorders>
            <w:shd w:val="clear" w:color="auto" w:fill="auto"/>
            <w:vAlign w:val="bottom"/>
            <w:hideMark/>
          </w:tcPr>
          <w:p w14:paraId="7462EDAB"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¢50.000.000.000,00 (colocada en su totalidad)</w:t>
            </w:r>
          </w:p>
        </w:tc>
      </w:tr>
      <w:tr w:rsidR="00B637B0" w:rsidRPr="00B637B0" w14:paraId="03AAD1FD"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263CCDD"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Fecha de emisión</w:t>
            </w:r>
          </w:p>
        </w:tc>
        <w:tc>
          <w:tcPr>
            <w:tcW w:w="7540" w:type="dxa"/>
            <w:tcBorders>
              <w:top w:val="single" w:sz="4" w:space="0" w:color="auto"/>
              <w:left w:val="nil"/>
              <w:bottom w:val="single" w:sz="4" w:space="0" w:color="auto"/>
              <w:right w:val="single" w:sz="4" w:space="0" w:color="000000"/>
            </w:tcBorders>
            <w:shd w:val="clear" w:color="auto" w:fill="auto"/>
            <w:noWrap/>
            <w:vAlign w:val="bottom"/>
            <w:hideMark/>
          </w:tcPr>
          <w:p w14:paraId="79B72F9F"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06 de noviembre de 2009</w:t>
            </w:r>
          </w:p>
        </w:tc>
      </w:tr>
      <w:tr w:rsidR="00B637B0" w:rsidRPr="00B637B0" w14:paraId="3158678B"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B4687B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Fecha de vencimiento</w:t>
            </w:r>
          </w:p>
        </w:tc>
        <w:tc>
          <w:tcPr>
            <w:tcW w:w="7540" w:type="dxa"/>
            <w:tcBorders>
              <w:top w:val="single" w:sz="4" w:space="0" w:color="auto"/>
              <w:left w:val="nil"/>
              <w:bottom w:val="single" w:sz="4" w:space="0" w:color="auto"/>
              <w:right w:val="single" w:sz="4" w:space="0" w:color="000000"/>
            </w:tcBorders>
            <w:shd w:val="clear" w:color="auto" w:fill="auto"/>
            <w:noWrap/>
            <w:vAlign w:val="bottom"/>
            <w:hideMark/>
          </w:tcPr>
          <w:p w14:paraId="6BD04E4A"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06 de noviembre de 2024</w:t>
            </w:r>
          </w:p>
        </w:tc>
      </w:tr>
      <w:tr w:rsidR="00B637B0" w:rsidRPr="00B637B0" w14:paraId="4D79C7EA"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789005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Denominación o valor facial</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4DDDB51C"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¢1.000.000,00 (un millón de colones)</w:t>
            </w:r>
          </w:p>
        </w:tc>
      </w:tr>
      <w:tr w:rsidR="00B637B0" w:rsidRPr="00B637B0" w14:paraId="3EEC46DF"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3F7468E"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Tasa de interés bruta</w:t>
            </w:r>
          </w:p>
        </w:tc>
        <w:tc>
          <w:tcPr>
            <w:tcW w:w="7540" w:type="dxa"/>
            <w:tcBorders>
              <w:top w:val="single" w:sz="4" w:space="0" w:color="auto"/>
              <w:left w:val="nil"/>
              <w:bottom w:val="single" w:sz="4" w:space="0" w:color="auto"/>
              <w:right w:val="single" w:sz="4" w:space="0" w:color="000000"/>
            </w:tcBorders>
            <w:shd w:val="clear" w:color="auto" w:fill="auto"/>
            <w:noWrap/>
            <w:vAlign w:val="bottom"/>
            <w:hideMark/>
          </w:tcPr>
          <w:p w14:paraId="505A9AAA"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TBP + 1.75%</w:t>
            </w:r>
          </w:p>
        </w:tc>
      </w:tr>
      <w:tr w:rsidR="00B637B0" w:rsidRPr="00B637B0" w14:paraId="68567309"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967AE0F"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Tasa de interés neta</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698D2F24"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Tasa Bruta menos el Impuesto sobre la Renta</w:t>
            </w:r>
          </w:p>
        </w:tc>
      </w:tr>
      <w:tr w:rsidR="00B637B0" w:rsidRPr="00B637B0" w14:paraId="0A4FE6D1"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787FCE1"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Factor de cálculo</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16FD311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30/360</w:t>
            </w:r>
          </w:p>
        </w:tc>
      </w:tr>
      <w:tr w:rsidR="00B637B0" w:rsidRPr="00B637B0" w14:paraId="53BABC77"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65695A6"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Periodicidad</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32B7E436"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Cupón Trimestral</w:t>
            </w:r>
          </w:p>
        </w:tc>
      </w:tr>
      <w:tr w:rsidR="00B637B0" w:rsidRPr="00B637B0" w14:paraId="12BFE68E"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DDCFAB2"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Amortización del principal</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618A53DB"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Al Vencimiento</w:t>
            </w:r>
          </w:p>
        </w:tc>
      </w:tr>
      <w:tr w:rsidR="00B637B0" w:rsidRPr="00B637B0" w14:paraId="398E4E23"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6FCA1F0"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Forma de representación</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04DD518D"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Anotación electrónica en cuenta</w:t>
            </w:r>
          </w:p>
        </w:tc>
      </w:tr>
      <w:tr w:rsidR="00B637B0" w:rsidRPr="00B637B0" w14:paraId="474D5DC1" w14:textId="77777777" w:rsidTr="00BA08EC">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3586C3C"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Ley de cirulación</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123CF345"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A la orden</w:t>
            </w:r>
          </w:p>
        </w:tc>
      </w:tr>
      <w:tr w:rsidR="00B637B0" w:rsidRPr="00B637B0" w14:paraId="758C7C5D" w14:textId="77777777" w:rsidTr="00BA08EC">
        <w:trPr>
          <w:trHeight w:val="360"/>
          <w:jc w:val="center"/>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7E129E16"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Forma de colocaciones realizadas</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14:paraId="2B479E31" w14:textId="77777777" w:rsidR="00B637B0" w:rsidRPr="00B637B0" w:rsidRDefault="00B637B0" w:rsidP="00B637B0">
            <w:pPr>
              <w:ind w:right="0"/>
              <w:jc w:val="left"/>
              <w:rPr>
                <w:color w:val="000000"/>
                <w:sz w:val="18"/>
                <w:szCs w:val="18"/>
                <w:lang w:val="es-CR" w:eastAsia="es-CR"/>
              </w:rPr>
            </w:pPr>
            <w:r w:rsidRPr="00B637B0">
              <w:rPr>
                <w:color w:val="000000"/>
                <w:sz w:val="18"/>
                <w:szCs w:val="18"/>
                <w:lang w:val="es-CR" w:eastAsia="es-CR"/>
              </w:rPr>
              <w:t>Subasta por Bolsa</w:t>
            </w:r>
          </w:p>
        </w:tc>
      </w:tr>
    </w:tbl>
    <w:p w14:paraId="4010EC50" w14:textId="77777777" w:rsidR="00A65F5F" w:rsidRDefault="00A65F5F" w:rsidP="00A65F5F">
      <w:pPr>
        <w:rPr>
          <w:vertAlign w:val="superscript"/>
        </w:rPr>
      </w:pPr>
    </w:p>
    <w:p w14:paraId="64469D3D" w14:textId="77777777" w:rsidR="00A65F5F" w:rsidRDefault="00A65F5F" w:rsidP="00A65F5F">
      <w:pPr>
        <w:rPr>
          <w:vertAlign w:val="superscript"/>
        </w:rPr>
      </w:pPr>
    </w:p>
    <w:p w14:paraId="040B27BF" w14:textId="77777777" w:rsidR="00A65F5F" w:rsidRDefault="00A65F5F" w:rsidP="00A65F5F">
      <w:pPr>
        <w:rPr>
          <w:vertAlign w:val="superscript"/>
        </w:rPr>
      </w:pPr>
    </w:p>
    <w:p w14:paraId="3530C049" w14:textId="77777777" w:rsidR="005236AF" w:rsidRDefault="005236AF" w:rsidP="00A65F5F">
      <w:pPr>
        <w:rPr>
          <w:vertAlign w:val="superscript"/>
        </w:rPr>
      </w:pPr>
    </w:p>
    <w:p w14:paraId="2210BE40" w14:textId="77777777" w:rsidR="005236AF" w:rsidRDefault="005236AF" w:rsidP="00A65F5F">
      <w:pPr>
        <w:rPr>
          <w:vertAlign w:val="superscript"/>
        </w:rPr>
      </w:pPr>
    </w:p>
    <w:p w14:paraId="754655FD" w14:textId="77777777" w:rsidR="005236AF" w:rsidRDefault="005236AF" w:rsidP="00A65F5F">
      <w:pPr>
        <w:rPr>
          <w:vertAlign w:val="superscript"/>
        </w:rPr>
      </w:pPr>
    </w:p>
    <w:p w14:paraId="4CBDD106" w14:textId="77777777" w:rsidR="005236AF" w:rsidRDefault="005236AF" w:rsidP="00A65F5F">
      <w:pPr>
        <w:rPr>
          <w:vertAlign w:val="superscript"/>
        </w:rPr>
      </w:pPr>
    </w:p>
    <w:p w14:paraId="66867979" w14:textId="77777777" w:rsidR="005236AF" w:rsidRDefault="005236AF" w:rsidP="00A65F5F">
      <w:pPr>
        <w:rPr>
          <w:vertAlign w:val="superscript"/>
        </w:rPr>
      </w:pPr>
    </w:p>
    <w:p w14:paraId="3B008428" w14:textId="77777777" w:rsidR="00A65F5F" w:rsidRDefault="00A65F5F" w:rsidP="00A65F5F">
      <w:pPr>
        <w:rPr>
          <w:vertAlign w:val="superscript"/>
        </w:rPr>
      </w:pPr>
    </w:p>
    <w:p w14:paraId="1DDACE19" w14:textId="77777777" w:rsidR="00A65F5F" w:rsidRDefault="00A65F5F" w:rsidP="00A65F5F">
      <w:pPr>
        <w:rPr>
          <w:vertAlign w:val="superscript"/>
        </w:rPr>
      </w:pPr>
    </w:p>
    <w:p w14:paraId="6E214735" w14:textId="77777777" w:rsidR="00A65F5F" w:rsidRDefault="00A65F5F" w:rsidP="00A65F5F">
      <w:pPr>
        <w:rPr>
          <w:vertAlign w:val="superscript"/>
        </w:rPr>
      </w:pPr>
    </w:p>
    <w:p w14:paraId="0DB5A9F4" w14:textId="77777777" w:rsidR="00A65F5F" w:rsidRDefault="00A65F5F" w:rsidP="00A65F5F">
      <w:pPr>
        <w:rPr>
          <w:vertAlign w:val="superscript"/>
        </w:rPr>
      </w:pPr>
    </w:p>
    <w:p w14:paraId="0D45A61F" w14:textId="77777777" w:rsidR="00A65F5F" w:rsidRDefault="00A65F5F" w:rsidP="00A65F5F">
      <w:pPr>
        <w:rPr>
          <w:vertAlign w:val="superscript"/>
        </w:rPr>
      </w:pPr>
    </w:p>
    <w:p w14:paraId="4402BABE" w14:textId="77777777" w:rsidR="00A65F5F" w:rsidRDefault="00A65F5F" w:rsidP="00A65F5F">
      <w:pPr>
        <w:rPr>
          <w:vertAlign w:val="superscript"/>
        </w:rPr>
      </w:pPr>
    </w:p>
    <w:p w14:paraId="37C2EFCE" w14:textId="77777777" w:rsidR="00A65F5F" w:rsidRDefault="00A65F5F" w:rsidP="00A65F5F">
      <w:pPr>
        <w:rPr>
          <w:vertAlign w:val="superscript"/>
        </w:rPr>
      </w:pPr>
    </w:p>
    <w:p w14:paraId="4C767113" w14:textId="77777777" w:rsidR="00A65F5F" w:rsidRDefault="00A65F5F" w:rsidP="00A65F5F">
      <w:pPr>
        <w:rPr>
          <w:vertAlign w:val="superscript"/>
        </w:rPr>
      </w:pPr>
    </w:p>
    <w:p w14:paraId="76DCCB6D" w14:textId="77777777" w:rsidR="00A65F5F" w:rsidRDefault="00A65F5F" w:rsidP="00A65F5F">
      <w:pPr>
        <w:rPr>
          <w:vertAlign w:val="superscript"/>
        </w:rPr>
      </w:pPr>
    </w:p>
    <w:p w14:paraId="0F751986" w14:textId="77777777" w:rsidR="00A65F5F" w:rsidRDefault="00A65F5F" w:rsidP="00A65F5F">
      <w:pPr>
        <w:rPr>
          <w:vertAlign w:val="superscript"/>
        </w:rPr>
      </w:pPr>
    </w:p>
    <w:p w14:paraId="1A60E626" w14:textId="77777777" w:rsidR="00A65F5F" w:rsidRDefault="00A65F5F" w:rsidP="00A65F5F">
      <w:pPr>
        <w:rPr>
          <w:vertAlign w:val="superscript"/>
        </w:rPr>
      </w:pPr>
    </w:p>
    <w:p w14:paraId="126A09B0" w14:textId="77777777" w:rsidR="00A65F5F" w:rsidRDefault="00A65F5F" w:rsidP="00A65F5F">
      <w:pPr>
        <w:rPr>
          <w:vertAlign w:val="superscript"/>
        </w:rPr>
      </w:pPr>
    </w:p>
    <w:tbl>
      <w:tblPr>
        <w:tblW w:w="9517" w:type="dxa"/>
        <w:tblInd w:w="51" w:type="dxa"/>
        <w:tblCellMar>
          <w:left w:w="70" w:type="dxa"/>
          <w:right w:w="70" w:type="dxa"/>
        </w:tblCellMar>
        <w:tblLook w:val="04A0" w:firstRow="1" w:lastRow="0" w:firstColumn="1" w:lastColumn="0" w:noHBand="0" w:noVBand="1"/>
      </w:tblPr>
      <w:tblGrid>
        <w:gridCol w:w="2540"/>
        <w:gridCol w:w="3500"/>
        <w:gridCol w:w="3477"/>
      </w:tblGrid>
      <w:tr w:rsidR="00A65F5F" w:rsidRPr="00BD6F72" w14:paraId="0DB0AFF4" w14:textId="77777777" w:rsidTr="00E92822">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14:paraId="2FAC6BB9" w14:textId="77777777" w:rsidR="00A65F5F" w:rsidRPr="00577877" w:rsidRDefault="00A65F5F" w:rsidP="00E92822">
            <w:pPr>
              <w:rPr>
                <w:color w:val="FFFFFF"/>
                <w:sz w:val="18"/>
                <w:szCs w:val="18"/>
                <w:lang w:val="es-CR" w:eastAsia="es-CR"/>
              </w:rPr>
            </w:pPr>
            <w:r w:rsidRPr="00577877">
              <w:rPr>
                <w:color w:val="FFFFFF"/>
                <w:sz w:val="18"/>
                <w:szCs w:val="18"/>
                <w:lang w:val="es-CR" w:eastAsia="es-CR"/>
              </w:rPr>
              <w:t>Clase de Instrumentos</w:t>
            </w:r>
          </w:p>
        </w:tc>
        <w:tc>
          <w:tcPr>
            <w:tcW w:w="6977" w:type="dxa"/>
            <w:gridSpan w:val="2"/>
            <w:tcBorders>
              <w:top w:val="single" w:sz="4" w:space="0" w:color="auto"/>
              <w:left w:val="nil"/>
              <w:bottom w:val="single" w:sz="4" w:space="0" w:color="auto"/>
              <w:right w:val="single" w:sz="4" w:space="0" w:color="auto"/>
            </w:tcBorders>
            <w:shd w:val="clear" w:color="000000" w:fill="17375D"/>
            <w:noWrap/>
            <w:vAlign w:val="bottom"/>
            <w:hideMark/>
          </w:tcPr>
          <w:p w14:paraId="04AD76BC" w14:textId="77777777" w:rsidR="00A65F5F" w:rsidRPr="00577877" w:rsidRDefault="00A65F5F" w:rsidP="00E92822">
            <w:pPr>
              <w:rPr>
                <w:color w:val="FFFFFF"/>
                <w:sz w:val="18"/>
                <w:szCs w:val="18"/>
                <w:lang w:val="es-CR" w:eastAsia="es-CR"/>
              </w:rPr>
            </w:pPr>
            <w:r w:rsidRPr="00577877">
              <w:rPr>
                <w:color w:val="FFFFFF"/>
                <w:sz w:val="18"/>
                <w:szCs w:val="18"/>
                <w:lang w:val="es-CR" w:eastAsia="es-CR"/>
              </w:rPr>
              <w:t>Bonos Estandarizados</w:t>
            </w:r>
          </w:p>
        </w:tc>
      </w:tr>
      <w:tr w:rsidR="00A65F5F" w:rsidRPr="00BD6F72" w14:paraId="4095D318" w14:textId="77777777" w:rsidTr="00E92822">
        <w:trPr>
          <w:trHeight w:val="300"/>
        </w:trPr>
        <w:tc>
          <w:tcPr>
            <w:tcW w:w="2540" w:type="dxa"/>
            <w:tcBorders>
              <w:top w:val="nil"/>
              <w:left w:val="single" w:sz="4" w:space="0" w:color="auto"/>
              <w:bottom w:val="single" w:sz="4" w:space="0" w:color="auto"/>
              <w:right w:val="single" w:sz="4" w:space="0" w:color="auto"/>
            </w:tcBorders>
            <w:shd w:val="clear" w:color="000000" w:fill="17375D"/>
            <w:noWrap/>
            <w:vAlign w:val="bottom"/>
            <w:hideMark/>
          </w:tcPr>
          <w:p w14:paraId="4E5ACE76" w14:textId="77777777" w:rsidR="00A65F5F" w:rsidRPr="00577877" w:rsidRDefault="00A65F5F" w:rsidP="00E92822">
            <w:pPr>
              <w:rPr>
                <w:color w:val="FFFFFF"/>
                <w:sz w:val="18"/>
                <w:szCs w:val="18"/>
                <w:lang w:val="es-CR" w:eastAsia="es-CR"/>
              </w:rPr>
            </w:pPr>
            <w:r w:rsidRPr="00577877">
              <w:rPr>
                <w:color w:val="FFFFFF"/>
                <w:sz w:val="18"/>
                <w:szCs w:val="18"/>
                <w:lang w:val="es-CR" w:eastAsia="es-CR"/>
              </w:rPr>
              <w:t>Nombre del Programa</w:t>
            </w:r>
          </w:p>
        </w:tc>
        <w:tc>
          <w:tcPr>
            <w:tcW w:w="6977" w:type="dxa"/>
            <w:gridSpan w:val="2"/>
            <w:tcBorders>
              <w:top w:val="single" w:sz="4" w:space="0" w:color="auto"/>
              <w:left w:val="nil"/>
              <w:bottom w:val="single" w:sz="4" w:space="0" w:color="auto"/>
              <w:right w:val="single" w:sz="4" w:space="0" w:color="auto"/>
            </w:tcBorders>
            <w:shd w:val="clear" w:color="000000" w:fill="17375D"/>
            <w:noWrap/>
            <w:vAlign w:val="bottom"/>
            <w:hideMark/>
          </w:tcPr>
          <w:p w14:paraId="0CAF6A83" w14:textId="77777777" w:rsidR="00A65F5F" w:rsidRPr="00577877" w:rsidRDefault="00A65F5F" w:rsidP="00E92822">
            <w:pPr>
              <w:rPr>
                <w:color w:val="FFFFFF"/>
                <w:sz w:val="18"/>
                <w:szCs w:val="18"/>
                <w:lang w:val="es-CR" w:eastAsia="es-CR"/>
              </w:rPr>
            </w:pPr>
            <w:r w:rsidRPr="00577877">
              <w:rPr>
                <w:color w:val="FFFFFF"/>
                <w:sz w:val="18"/>
                <w:szCs w:val="18"/>
                <w:lang w:val="es-CR" w:eastAsia="es-CR"/>
              </w:rPr>
              <w:t>Programa A de Emisiones de Bonos Estandarizados</w:t>
            </w:r>
          </w:p>
        </w:tc>
      </w:tr>
      <w:tr w:rsidR="00A65F5F" w:rsidRPr="00BD6F72" w14:paraId="09561C30" w14:textId="77777777" w:rsidTr="00E92822">
        <w:trPr>
          <w:trHeight w:val="465"/>
        </w:trPr>
        <w:tc>
          <w:tcPr>
            <w:tcW w:w="2540" w:type="dxa"/>
            <w:tcBorders>
              <w:top w:val="nil"/>
              <w:left w:val="single" w:sz="4" w:space="0" w:color="auto"/>
              <w:bottom w:val="single" w:sz="4" w:space="0" w:color="auto"/>
              <w:right w:val="single" w:sz="4" w:space="0" w:color="auto"/>
            </w:tcBorders>
            <w:vAlign w:val="bottom"/>
            <w:hideMark/>
          </w:tcPr>
          <w:p w14:paraId="4ED01FB4"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Monto total del programa y moneda</w:t>
            </w:r>
          </w:p>
        </w:tc>
        <w:tc>
          <w:tcPr>
            <w:tcW w:w="6977" w:type="dxa"/>
            <w:gridSpan w:val="2"/>
            <w:tcBorders>
              <w:top w:val="single" w:sz="4" w:space="0" w:color="auto"/>
              <w:left w:val="nil"/>
              <w:bottom w:val="single" w:sz="4" w:space="0" w:color="auto"/>
              <w:right w:val="single" w:sz="4" w:space="0" w:color="auto"/>
            </w:tcBorders>
            <w:noWrap/>
            <w:vAlign w:val="bottom"/>
            <w:hideMark/>
          </w:tcPr>
          <w:p w14:paraId="215D0A05"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¢200.000.000.000,00 colones</w:t>
            </w:r>
          </w:p>
        </w:tc>
      </w:tr>
      <w:tr w:rsidR="00A65F5F" w:rsidRPr="00BD6F72" w14:paraId="05BC10B9"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47842405"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Monto total inscrito</w:t>
            </w:r>
          </w:p>
        </w:tc>
        <w:tc>
          <w:tcPr>
            <w:tcW w:w="6977" w:type="dxa"/>
            <w:gridSpan w:val="2"/>
            <w:tcBorders>
              <w:top w:val="single" w:sz="4" w:space="0" w:color="auto"/>
              <w:left w:val="nil"/>
              <w:bottom w:val="single" w:sz="4" w:space="0" w:color="auto"/>
              <w:right w:val="single" w:sz="4" w:space="0" w:color="auto"/>
            </w:tcBorders>
            <w:noWrap/>
            <w:vAlign w:val="bottom"/>
            <w:hideMark/>
          </w:tcPr>
          <w:p w14:paraId="3366B1B4"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¢200.000.000.000,00  colones</w:t>
            </w:r>
          </w:p>
        </w:tc>
      </w:tr>
      <w:tr w:rsidR="00A65F5F" w:rsidRPr="00BD6F72" w14:paraId="15F41AC8"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1ADA43E1"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Monto por inscribir</w:t>
            </w:r>
          </w:p>
        </w:tc>
        <w:tc>
          <w:tcPr>
            <w:tcW w:w="6977" w:type="dxa"/>
            <w:gridSpan w:val="2"/>
            <w:tcBorders>
              <w:top w:val="single" w:sz="4" w:space="0" w:color="auto"/>
              <w:left w:val="nil"/>
              <w:bottom w:val="single" w:sz="4" w:space="0" w:color="auto"/>
              <w:right w:val="single" w:sz="4" w:space="0" w:color="auto"/>
            </w:tcBorders>
            <w:noWrap/>
            <w:vAlign w:val="bottom"/>
            <w:hideMark/>
          </w:tcPr>
          <w:p w14:paraId="426ACAD5" w14:textId="77777777" w:rsidR="00A65F5F" w:rsidRPr="00577877" w:rsidRDefault="00A65F5F" w:rsidP="00E92822">
            <w:pPr>
              <w:jc w:val="center"/>
              <w:rPr>
                <w:color w:val="000000"/>
                <w:sz w:val="18"/>
                <w:szCs w:val="18"/>
                <w:lang w:val="es-CR" w:eastAsia="es-CR"/>
              </w:rPr>
            </w:pPr>
            <w:r w:rsidRPr="00577877">
              <w:rPr>
                <w:color w:val="000000"/>
                <w:sz w:val="18"/>
                <w:szCs w:val="18"/>
                <w:lang w:val="es-CR" w:eastAsia="es-CR"/>
              </w:rPr>
              <w:t>-</w:t>
            </w:r>
          </w:p>
        </w:tc>
      </w:tr>
      <w:tr w:rsidR="00A65F5F" w:rsidRPr="00BD6F72" w14:paraId="3F24342A" w14:textId="77777777" w:rsidTr="00E92822">
        <w:trPr>
          <w:trHeight w:val="465"/>
        </w:trPr>
        <w:tc>
          <w:tcPr>
            <w:tcW w:w="2540" w:type="dxa"/>
            <w:tcBorders>
              <w:top w:val="nil"/>
              <w:left w:val="single" w:sz="4" w:space="0" w:color="auto"/>
              <w:bottom w:val="single" w:sz="4" w:space="0" w:color="auto"/>
              <w:right w:val="single" w:sz="4" w:space="0" w:color="auto"/>
            </w:tcBorders>
            <w:vAlign w:val="bottom"/>
            <w:hideMark/>
          </w:tcPr>
          <w:p w14:paraId="50B4367C"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Series del Programa que se encuentran emitidas</w:t>
            </w:r>
          </w:p>
        </w:tc>
        <w:tc>
          <w:tcPr>
            <w:tcW w:w="3500" w:type="dxa"/>
            <w:tcBorders>
              <w:top w:val="nil"/>
              <w:left w:val="nil"/>
              <w:bottom w:val="single" w:sz="4" w:space="0" w:color="auto"/>
              <w:right w:val="single" w:sz="4" w:space="0" w:color="auto"/>
            </w:tcBorders>
            <w:noWrap/>
            <w:vAlign w:val="bottom"/>
            <w:hideMark/>
          </w:tcPr>
          <w:p w14:paraId="2C9B05FE" w14:textId="77777777" w:rsidR="00A65F5F" w:rsidRPr="000E6C44" w:rsidRDefault="00A65F5F" w:rsidP="00E92822">
            <w:pPr>
              <w:rPr>
                <w:color w:val="000000"/>
                <w:sz w:val="18"/>
                <w:szCs w:val="18"/>
                <w:lang w:val="es-CR" w:eastAsia="es-CR"/>
              </w:rPr>
            </w:pPr>
            <w:r w:rsidRPr="000E6C44">
              <w:rPr>
                <w:color w:val="000000"/>
                <w:sz w:val="18"/>
                <w:szCs w:val="18"/>
                <w:lang w:val="es-CR" w:eastAsia="es-CR"/>
              </w:rPr>
              <w:t>A5</w:t>
            </w:r>
          </w:p>
        </w:tc>
        <w:tc>
          <w:tcPr>
            <w:tcW w:w="3477" w:type="dxa"/>
            <w:tcBorders>
              <w:top w:val="nil"/>
              <w:left w:val="nil"/>
              <w:bottom w:val="single" w:sz="4" w:space="0" w:color="auto"/>
              <w:right w:val="single" w:sz="4" w:space="0" w:color="auto"/>
            </w:tcBorders>
            <w:noWrap/>
            <w:vAlign w:val="bottom"/>
            <w:hideMark/>
          </w:tcPr>
          <w:p w14:paraId="5241BE09" w14:textId="77777777" w:rsidR="00A65F5F" w:rsidRPr="000E6C44" w:rsidRDefault="00A65F5F" w:rsidP="00E92822">
            <w:pPr>
              <w:rPr>
                <w:color w:val="000000"/>
                <w:sz w:val="18"/>
                <w:szCs w:val="18"/>
                <w:lang w:val="es-CR" w:eastAsia="es-CR"/>
              </w:rPr>
            </w:pPr>
            <w:r w:rsidRPr="000E6C44">
              <w:rPr>
                <w:color w:val="000000"/>
                <w:sz w:val="18"/>
                <w:szCs w:val="18"/>
                <w:lang w:val="es-CR" w:eastAsia="es-CR"/>
              </w:rPr>
              <w:t>A6</w:t>
            </w:r>
          </w:p>
        </w:tc>
      </w:tr>
      <w:tr w:rsidR="00A65F5F" w:rsidRPr="00BD6F72" w14:paraId="5BEC8C13"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6AF20160"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Plazo</w:t>
            </w:r>
          </w:p>
        </w:tc>
        <w:tc>
          <w:tcPr>
            <w:tcW w:w="3500" w:type="dxa"/>
            <w:tcBorders>
              <w:top w:val="nil"/>
              <w:left w:val="nil"/>
              <w:bottom w:val="single" w:sz="4" w:space="0" w:color="auto"/>
              <w:right w:val="single" w:sz="4" w:space="0" w:color="auto"/>
            </w:tcBorders>
            <w:noWrap/>
            <w:vAlign w:val="bottom"/>
            <w:hideMark/>
          </w:tcPr>
          <w:p w14:paraId="612BC313"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15 años</w:t>
            </w:r>
          </w:p>
        </w:tc>
        <w:tc>
          <w:tcPr>
            <w:tcW w:w="3477" w:type="dxa"/>
            <w:tcBorders>
              <w:top w:val="nil"/>
              <w:left w:val="nil"/>
              <w:bottom w:val="single" w:sz="4" w:space="0" w:color="auto"/>
              <w:right w:val="single" w:sz="4" w:space="0" w:color="auto"/>
            </w:tcBorders>
            <w:noWrap/>
            <w:vAlign w:val="bottom"/>
            <w:hideMark/>
          </w:tcPr>
          <w:p w14:paraId="66E78BD6" w14:textId="77777777" w:rsidR="00A65F5F" w:rsidRPr="008A501A" w:rsidRDefault="00A65F5F" w:rsidP="00E92822">
            <w:pPr>
              <w:rPr>
                <w:color w:val="000000"/>
                <w:sz w:val="18"/>
                <w:szCs w:val="18"/>
                <w:lang w:val="es-CR" w:eastAsia="es-CR"/>
              </w:rPr>
            </w:pPr>
            <w:r w:rsidRPr="008A501A">
              <w:rPr>
                <w:color w:val="000000"/>
                <w:sz w:val="18"/>
                <w:szCs w:val="18"/>
                <w:lang w:val="es-CR" w:eastAsia="es-CR"/>
              </w:rPr>
              <w:t>12 años</w:t>
            </w:r>
          </w:p>
        </w:tc>
      </w:tr>
      <w:tr w:rsidR="00A65F5F" w:rsidRPr="00BD6F72" w14:paraId="73315348" w14:textId="77777777" w:rsidTr="00E92822">
        <w:trPr>
          <w:trHeight w:val="465"/>
        </w:trPr>
        <w:tc>
          <w:tcPr>
            <w:tcW w:w="2540" w:type="dxa"/>
            <w:tcBorders>
              <w:top w:val="nil"/>
              <w:left w:val="single" w:sz="4" w:space="0" w:color="auto"/>
              <w:bottom w:val="single" w:sz="4" w:space="0" w:color="auto"/>
              <w:right w:val="single" w:sz="4" w:space="0" w:color="auto"/>
            </w:tcBorders>
            <w:noWrap/>
            <w:vAlign w:val="bottom"/>
            <w:hideMark/>
          </w:tcPr>
          <w:p w14:paraId="1CC68DFF"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Monto de cada emisión</w:t>
            </w:r>
          </w:p>
        </w:tc>
        <w:tc>
          <w:tcPr>
            <w:tcW w:w="3500" w:type="dxa"/>
            <w:tcBorders>
              <w:top w:val="nil"/>
              <w:left w:val="nil"/>
              <w:bottom w:val="single" w:sz="4" w:space="0" w:color="auto"/>
              <w:right w:val="single" w:sz="4" w:space="0" w:color="auto"/>
            </w:tcBorders>
            <w:vAlign w:val="bottom"/>
            <w:hideMark/>
          </w:tcPr>
          <w:p w14:paraId="084221FE"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¢20.000.000.000,00 veinte mil millones de colones</w:t>
            </w:r>
          </w:p>
        </w:tc>
        <w:tc>
          <w:tcPr>
            <w:tcW w:w="3477" w:type="dxa"/>
            <w:tcBorders>
              <w:top w:val="nil"/>
              <w:left w:val="nil"/>
              <w:bottom w:val="single" w:sz="4" w:space="0" w:color="auto"/>
              <w:right w:val="single" w:sz="4" w:space="0" w:color="auto"/>
            </w:tcBorders>
            <w:vAlign w:val="bottom"/>
            <w:hideMark/>
          </w:tcPr>
          <w:p w14:paraId="6C1EC325" w14:textId="77777777" w:rsidR="00A65F5F" w:rsidRPr="008A501A" w:rsidRDefault="00A65F5F" w:rsidP="00E92822">
            <w:pPr>
              <w:rPr>
                <w:color w:val="000000"/>
                <w:sz w:val="18"/>
                <w:szCs w:val="18"/>
                <w:lang w:val="es-CR" w:eastAsia="es-CR"/>
              </w:rPr>
            </w:pPr>
            <w:r w:rsidRPr="008A501A">
              <w:rPr>
                <w:color w:val="000000"/>
                <w:sz w:val="18"/>
                <w:szCs w:val="18"/>
                <w:lang w:val="es-CR" w:eastAsia="es-CR"/>
              </w:rPr>
              <w:t>¢25.107.000.000,00 veinticinco mil ciento siete millones de colones</w:t>
            </w:r>
          </w:p>
        </w:tc>
      </w:tr>
      <w:tr w:rsidR="00A65F5F" w:rsidRPr="00BD6F72" w14:paraId="4F88CE0E"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4654E046"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Monto colocado por emisión</w:t>
            </w:r>
          </w:p>
        </w:tc>
        <w:tc>
          <w:tcPr>
            <w:tcW w:w="3500" w:type="dxa"/>
            <w:tcBorders>
              <w:top w:val="nil"/>
              <w:left w:val="nil"/>
              <w:bottom w:val="single" w:sz="4" w:space="0" w:color="auto"/>
              <w:right w:val="single" w:sz="4" w:space="0" w:color="auto"/>
            </w:tcBorders>
            <w:vAlign w:val="bottom"/>
            <w:hideMark/>
          </w:tcPr>
          <w:p w14:paraId="412CC5A8"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¢20.000.000.000,00 (colocada en su totalidad)</w:t>
            </w:r>
          </w:p>
        </w:tc>
        <w:tc>
          <w:tcPr>
            <w:tcW w:w="3477" w:type="dxa"/>
            <w:tcBorders>
              <w:top w:val="nil"/>
              <w:left w:val="nil"/>
              <w:bottom w:val="single" w:sz="4" w:space="0" w:color="auto"/>
              <w:right w:val="single" w:sz="4" w:space="0" w:color="auto"/>
            </w:tcBorders>
            <w:vAlign w:val="bottom"/>
            <w:hideMark/>
          </w:tcPr>
          <w:p w14:paraId="6DA78AE8" w14:textId="77777777" w:rsidR="00A65F5F" w:rsidRPr="008A501A" w:rsidRDefault="00A65F5F" w:rsidP="00E92822">
            <w:pPr>
              <w:rPr>
                <w:color w:val="000000"/>
                <w:sz w:val="18"/>
                <w:szCs w:val="18"/>
                <w:lang w:val="es-CR" w:eastAsia="es-CR"/>
              </w:rPr>
            </w:pPr>
            <w:r w:rsidRPr="008A501A">
              <w:rPr>
                <w:color w:val="000000"/>
                <w:sz w:val="18"/>
                <w:szCs w:val="18"/>
                <w:lang w:val="es-CR" w:eastAsia="es-CR"/>
              </w:rPr>
              <w:t xml:space="preserve">¢25.107.000.000,00 </w:t>
            </w:r>
          </w:p>
        </w:tc>
      </w:tr>
      <w:tr w:rsidR="00A65F5F" w:rsidRPr="00BD6F72" w14:paraId="63CE6BD7"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4E55DEF4"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Fecha de emisión</w:t>
            </w:r>
          </w:p>
        </w:tc>
        <w:tc>
          <w:tcPr>
            <w:tcW w:w="3500" w:type="dxa"/>
            <w:tcBorders>
              <w:top w:val="nil"/>
              <w:left w:val="nil"/>
              <w:bottom w:val="single" w:sz="4" w:space="0" w:color="auto"/>
              <w:right w:val="single" w:sz="4" w:space="0" w:color="auto"/>
            </w:tcBorders>
            <w:noWrap/>
            <w:vAlign w:val="bottom"/>
            <w:hideMark/>
          </w:tcPr>
          <w:p w14:paraId="4F5717BF"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16 de diciembre de 2010</w:t>
            </w:r>
          </w:p>
        </w:tc>
        <w:tc>
          <w:tcPr>
            <w:tcW w:w="3477" w:type="dxa"/>
            <w:tcBorders>
              <w:top w:val="nil"/>
              <w:left w:val="nil"/>
              <w:bottom w:val="single" w:sz="4" w:space="0" w:color="auto"/>
              <w:right w:val="single" w:sz="4" w:space="0" w:color="auto"/>
            </w:tcBorders>
            <w:noWrap/>
            <w:vAlign w:val="bottom"/>
            <w:hideMark/>
          </w:tcPr>
          <w:p w14:paraId="5B36E3CF" w14:textId="77777777" w:rsidR="00A65F5F" w:rsidRPr="008A501A" w:rsidRDefault="00A65F5F" w:rsidP="00E92822">
            <w:pPr>
              <w:rPr>
                <w:color w:val="000000"/>
                <w:sz w:val="18"/>
                <w:szCs w:val="18"/>
                <w:lang w:val="es-CR" w:eastAsia="es-CR"/>
              </w:rPr>
            </w:pPr>
            <w:r w:rsidRPr="008A501A">
              <w:rPr>
                <w:color w:val="000000"/>
                <w:sz w:val="18"/>
                <w:szCs w:val="18"/>
                <w:lang w:val="es-CR" w:eastAsia="es-CR"/>
              </w:rPr>
              <w:t>11 de agosto de 2011</w:t>
            </w:r>
          </w:p>
        </w:tc>
      </w:tr>
      <w:tr w:rsidR="00A65F5F" w:rsidRPr="00BD6F72" w14:paraId="5F7B6EB4"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010C09AD"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Fecha de vencimiento</w:t>
            </w:r>
          </w:p>
        </w:tc>
        <w:tc>
          <w:tcPr>
            <w:tcW w:w="3500" w:type="dxa"/>
            <w:tcBorders>
              <w:top w:val="nil"/>
              <w:left w:val="nil"/>
              <w:bottom w:val="single" w:sz="4" w:space="0" w:color="auto"/>
              <w:right w:val="single" w:sz="4" w:space="0" w:color="auto"/>
            </w:tcBorders>
            <w:noWrap/>
            <w:vAlign w:val="bottom"/>
            <w:hideMark/>
          </w:tcPr>
          <w:p w14:paraId="45DBDAE9"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16 de diciembre de 2025</w:t>
            </w:r>
          </w:p>
        </w:tc>
        <w:tc>
          <w:tcPr>
            <w:tcW w:w="3477" w:type="dxa"/>
            <w:tcBorders>
              <w:top w:val="nil"/>
              <w:left w:val="nil"/>
              <w:bottom w:val="single" w:sz="4" w:space="0" w:color="auto"/>
              <w:right w:val="single" w:sz="4" w:space="0" w:color="auto"/>
            </w:tcBorders>
            <w:noWrap/>
            <w:vAlign w:val="bottom"/>
            <w:hideMark/>
          </w:tcPr>
          <w:p w14:paraId="1E69E4CE" w14:textId="77777777" w:rsidR="00A65F5F" w:rsidRPr="008A501A" w:rsidRDefault="00A65F5F" w:rsidP="00E92822">
            <w:pPr>
              <w:rPr>
                <w:color w:val="000000"/>
                <w:sz w:val="18"/>
                <w:szCs w:val="18"/>
                <w:lang w:val="es-CR" w:eastAsia="es-CR"/>
              </w:rPr>
            </w:pPr>
            <w:r w:rsidRPr="008A501A">
              <w:rPr>
                <w:color w:val="000000"/>
                <w:sz w:val="18"/>
                <w:szCs w:val="18"/>
                <w:lang w:val="es-CR" w:eastAsia="es-CR"/>
              </w:rPr>
              <w:t>11 de agosto de 2023</w:t>
            </w:r>
          </w:p>
        </w:tc>
      </w:tr>
      <w:tr w:rsidR="00A65F5F" w:rsidRPr="00BD6F72" w14:paraId="20D7D1E0"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1D52CE41"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Denominación o valor facial</w:t>
            </w:r>
          </w:p>
        </w:tc>
        <w:tc>
          <w:tcPr>
            <w:tcW w:w="6977" w:type="dxa"/>
            <w:gridSpan w:val="2"/>
            <w:tcBorders>
              <w:top w:val="single" w:sz="4" w:space="0" w:color="auto"/>
              <w:left w:val="nil"/>
              <w:bottom w:val="single" w:sz="4" w:space="0" w:color="auto"/>
              <w:right w:val="single" w:sz="4" w:space="0" w:color="auto"/>
            </w:tcBorders>
            <w:noWrap/>
            <w:vAlign w:val="bottom"/>
            <w:hideMark/>
          </w:tcPr>
          <w:p w14:paraId="0CBF4572"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¢1.000.000,00 (un millón de colones)</w:t>
            </w:r>
          </w:p>
        </w:tc>
      </w:tr>
      <w:tr w:rsidR="00A65F5F" w:rsidRPr="00BD6F72" w14:paraId="127DE95C"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129B3F57"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Tasa de interés bruta</w:t>
            </w:r>
          </w:p>
        </w:tc>
        <w:tc>
          <w:tcPr>
            <w:tcW w:w="3500" w:type="dxa"/>
            <w:tcBorders>
              <w:top w:val="nil"/>
              <w:left w:val="nil"/>
              <w:bottom w:val="single" w:sz="4" w:space="0" w:color="auto"/>
              <w:right w:val="single" w:sz="4" w:space="0" w:color="auto"/>
            </w:tcBorders>
            <w:noWrap/>
            <w:vAlign w:val="bottom"/>
            <w:hideMark/>
          </w:tcPr>
          <w:p w14:paraId="68D9B296"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TBP + 2,20%</w:t>
            </w:r>
          </w:p>
        </w:tc>
        <w:tc>
          <w:tcPr>
            <w:tcW w:w="3477" w:type="dxa"/>
            <w:tcBorders>
              <w:top w:val="nil"/>
              <w:left w:val="nil"/>
              <w:bottom w:val="single" w:sz="4" w:space="0" w:color="auto"/>
              <w:right w:val="single" w:sz="4" w:space="0" w:color="auto"/>
            </w:tcBorders>
            <w:noWrap/>
            <w:vAlign w:val="bottom"/>
            <w:hideMark/>
          </w:tcPr>
          <w:p w14:paraId="02A5175C"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TBP + 2,15%</w:t>
            </w:r>
          </w:p>
        </w:tc>
      </w:tr>
      <w:tr w:rsidR="00A65F5F" w:rsidRPr="00BD6F72" w14:paraId="41C79AA2"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036E261A"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Tasa de interés neta</w:t>
            </w:r>
          </w:p>
        </w:tc>
        <w:tc>
          <w:tcPr>
            <w:tcW w:w="6977" w:type="dxa"/>
            <w:gridSpan w:val="2"/>
            <w:tcBorders>
              <w:top w:val="single" w:sz="4" w:space="0" w:color="auto"/>
              <w:left w:val="nil"/>
              <w:bottom w:val="single" w:sz="4" w:space="0" w:color="auto"/>
              <w:right w:val="single" w:sz="4" w:space="0" w:color="auto"/>
            </w:tcBorders>
            <w:noWrap/>
            <w:vAlign w:val="bottom"/>
            <w:hideMark/>
          </w:tcPr>
          <w:p w14:paraId="33B855FD"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Tasa Bruta menos el Impuesto sobre la Renta</w:t>
            </w:r>
          </w:p>
        </w:tc>
      </w:tr>
      <w:tr w:rsidR="00A65F5F" w:rsidRPr="00BD6F72" w14:paraId="24CB27FB"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21841CE2"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Factor de cálculo</w:t>
            </w:r>
          </w:p>
        </w:tc>
        <w:tc>
          <w:tcPr>
            <w:tcW w:w="6977" w:type="dxa"/>
            <w:gridSpan w:val="2"/>
            <w:tcBorders>
              <w:top w:val="single" w:sz="4" w:space="0" w:color="auto"/>
              <w:left w:val="nil"/>
              <w:bottom w:val="single" w:sz="4" w:space="0" w:color="auto"/>
              <w:right w:val="single" w:sz="4" w:space="0" w:color="auto"/>
            </w:tcBorders>
            <w:noWrap/>
            <w:vAlign w:val="bottom"/>
            <w:hideMark/>
          </w:tcPr>
          <w:p w14:paraId="6454D062"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30/360</w:t>
            </w:r>
          </w:p>
        </w:tc>
      </w:tr>
      <w:tr w:rsidR="00A65F5F" w:rsidRPr="00BD6F72" w14:paraId="7DFCCA24"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20C97CA3"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Periodicidad</w:t>
            </w:r>
          </w:p>
        </w:tc>
        <w:tc>
          <w:tcPr>
            <w:tcW w:w="6977" w:type="dxa"/>
            <w:gridSpan w:val="2"/>
            <w:tcBorders>
              <w:top w:val="single" w:sz="4" w:space="0" w:color="auto"/>
              <w:left w:val="nil"/>
              <w:bottom w:val="single" w:sz="4" w:space="0" w:color="auto"/>
              <w:right w:val="single" w:sz="4" w:space="0" w:color="auto"/>
            </w:tcBorders>
            <w:noWrap/>
            <w:vAlign w:val="bottom"/>
            <w:hideMark/>
          </w:tcPr>
          <w:p w14:paraId="6CBF3262"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Cupón Trimestral</w:t>
            </w:r>
          </w:p>
        </w:tc>
      </w:tr>
      <w:tr w:rsidR="00A65F5F" w:rsidRPr="00BD6F72" w14:paraId="2E52A5E6"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65E3C0AF"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Amortización del principal</w:t>
            </w:r>
          </w:p>
        </w:tc>
        <w:tc>
          <w:tcPr>
            <w:tcW w:w="6977" w:type="dxa"/>
            <w:gridSpan w:val="2"/>
            <w:tcBorders>
              <w:top w:val="single" w:sz="4" w:space="0" w:color="auto"/>
              <w:left w:val="nil"/>
              <w:bottom w:val="single" w:sz="4" w:space="0" w:color="auto"/>
              <w:right w:val="single" w:sz="4" w:space="0" w:color="auto"/>
            </w:tcBorders>
            <w:noWrap/>
            <w:vAlign w:val="bottom"/>
            <w:hideMark/>
          </w:tcPr>
          <w:p w14:paraId="6D63F248"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Al Vencimiento</w:t>
            </w:r>
          </w:p>
        </w:tc>
      </w:tr>
      <w:tr w:rsidR="00A65F5F" w:rsidRPr="00BD6F72" w14:paraId="328AFE0C"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33B33834"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Forma de representación</w:t>
            </w:r>
          </w:p>
        </w:tc>
        <w:tc>
          <w:tcPr>
            <w:tcW w:w="6977" w:type="dxa"/>
            <w:gridSpan w:val="2"/>
            <w:tcBorders>
              <w:top w:val="single" w:sz="4" w:space="0" w:color="auto"/>
              <w:left w:val="nil"/>
              <w:bottom w:val="single" w:sz="4" w:space="0" w:color="auto"/>
              <w:right w:val="single" w:sz="4" w:space="0" w:color="auto"/>
            </w:tcBorders>
            <w:noWrap/>
            <w:vAlign w:val="bottom"/>
            <w:hideMark/>
          </w:tcPr>
          <w:p w14:paraId="7D7FFFF3" w14:textId="77777777" w:rsidR="00A65F5F" w:rsidRPr="00577877" w:rsidRDefault="00A65F5F" w:rsidP="00E92822">
            <w:pPr>
              <w:rPr>
                <w:color w:val="000000"/>
                <w:sz w:val="18"/>
                <w:szCs w:val="18"/>
                <w:lang w:val="es-CR" w:eastAsia="es-CR"/>
              </w:rPr>
            </w:pPr>
            <w:r>
              <w:rPr>
                <w:sz w:val="18"/>
                <w:szCs w:val="18"/>
              </w:rPr>
              <w:t>Anotación electrónica en cuenta</w:t>
            </w:r>
          </w:p>
        </w:tc>
      </w:tr>
      <w:tr w:rsidR="00A65F5F" w:rsidRPr="00BD6F72" w14:paraId="1CAB7720" w14:textId="77777777" w:rsidTr="00E92822">
        <w:trPr>
          <w:trHeight w:val="300"/>
        </w:trPr>
        <w:tc>
          <w:tcPr>
            <w:tcW w:w="2540" w:type="dxa"/>
            <w:tcBorders>
              <w:top w:val="nil"/>
              <w:left w:val="single" w:sz="4" w:space="0" w:color="auto"/>
              <w:bottom w:val="single" w:sz="4" w:space="0" w:color="auto"/>
              <w:right w:val="single" w:sz="4" w:space="0" w:color="auto"/>
            </w:tcBorders>
            <w:noWrap/>
            <w:vAlign w:val="bottom"/>
            <w:hideMark/>
          </w:tcPr>
          <w:p w14:paraId="1940D413"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Ley de circulación</w:t>
            </w:r>
          </w:p>
        </w:tc>
        <w:tc>
          <w:tcPr>
            <w:tcW w:w="6977" w:type="dxa"/>
            <w:gridSpan w:val="2"/>
            <w:tcBorders>
              <w:top w:val="single" w:sz="4" w:space="0" w:color="auto"/>
              <w:left w:val="nil"/>
              <w:bottom w:val="single" w:sz="4" w:space="0" w:color="auto"/>
              <w:right w:val="single" w:sz="4" w:space="0" w:color="auto"/>
            </w:tcBorders>
            <w:noWrap/>
            <w:vAlign w:val="bottom"/>
            <w:hideMark/>
          </w:tcPr>
          <w:p w14:paraId="67149BD7"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A la orden</w:t>
            </w:r>
          </w:p>
        </w:tc>
      </w:tr>
      <w:tr w:rsidR="00A65F5F" w:rsidRPr="00BD6F72" w14:paraId="58F5EC6B" w14:textId="77777777" w:rsidTr="00E92822">
        <w:trPr>
          <w:trHeight w:val="118"/>
        </w:trPr>
        <w:tc>
          <w:tcPr>
            <w:tcW w:w="2540" w:type="dxa"/>
            <w:tcBorders>
              <w:top w:val="nil"/>
              <w:left w:val="single" w:sz="4" w:space="0" w:color="auto"/>
              <w:bottom w:val="single" w:sz="4" w:space="0" w:color="auto"/>
              <w:right w:val="single" w:sz="4" w:space="0" w:color="auto"/>
            </w:tcBorders>
            <w:vAlign w:val="bottom"/>
            <w:hideMark/>
          </w:tcPr>
          <w:p w14:paraId="7905CF4D"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Forma de colocaciones realizadas</w:t>
            </w:r>
          </w:p>
        </w:tc>
        <w:tc>
          <w:tcPr>
            <w:tcW w:w="6977" w:type="dxa"/>
            <w:gridSpan w:val="2"/>
            <w:tcBorders>
              <w:top w:val="single" w:sz="4" w:space="0" w:color="auto"/>
              <w:left w:val="nil"/>
              <w:bottom w:val="single" w:sz="4" w:space="0" w:color="auto"/>
              <w:right w:val="single" w:sz="4" w:space="0" w:color="auto"/>
            </w:tcBorders>
            <w:noWrap/>
            <w:vAlign w:val="bottom"/>
            <w:hideMark/>
          </w:tcPr>
          <w:p w14:paraId="6EEEC484" w14:textId="77777777" w:rsidR="00A65F5F" w:rsidRPr="00577877" w:rsidRDefault="00A65F5F" w:rsidP="00E92822">
            <w:pPr>
              <w:rPr>
                <w:color w:val="000000"/>
                <w:sz w:val="18"/>
                <w:szCs w:val="18"/>
                <w:lang w:val="es-CR" w:eastAsia="es-CR"/>
              </w:rPr>
            </w:pPr>
            <w:r w:rsidRPr="00577877">
              <w:rPr>
                <w:color w:val="000000"/>
                <w:sz w:val="18"/>
                <w:szCs w:val="18"/>
                <w:lang w:val="es-CR" w:eastAsia="es-CR"/>
              </w:rPr>
              <w:t>Subasta por Bolsa</w:t>
            </w:r>
          </w:p>
        </w:tc>
      </w:tr>
    </w:tbl>
    <w:p w14:paraId="6D7BB76F" w14:textId="77777777" w:rsidR="00A65F5F" w:rsidRPr="00846A95" w:rsidRDefault="00A65F5F" w:rsidP="00A65F5F"/>
    <w:p w14:paraId="3E39131D" w14:textId="77777777" w:rsidR="00A65F5F" w:rsidRDefault="00A65F5F" w:rsidP="00A65F5F">
      <w:pPr>
        <w:rPr>
          <w:vertAlign w:val="superscript"/>
        </w:rPr>
      </w:pPr>
    </w:p>
    <w:p w14:paraId="2E9F07B1" w14:textId="77777777" w:rsidR="00A65F5F" w:rsidRDefault="00A65F5F" w:rsidP="00A65F5F">
      <w:pPr>
        <w:ind w:right="-25"/>
        <w:rPr>
          <w:sz w:val="18"/>
          <w:szCs w:val="18"/>
          <w:vertAlign w:val="superscript"/>
        </w:rPr>
      </w:pPr>
    </w:p>
    <w:p w14:paraId="25F6E812" w14:textId="77777777" w:rsidR="00A65F5F" w:rsidRDefault="00A65F5F" w:rsidP="00A65F5F">
      <w:pPr>
        <w:ind w:right="-25"/>
        <w:rPr>
          <w:sz w:val="18"/>
          <w:szCs w:val="18"/>
          <w:vertAlign w:val="superscript"/>
        </w:rPr>
      </w:pPr>
    </w:p>
    <w:p w14:paraId="0C31BB0E" w14:textId="77777777" w:rsidR="00A65F5F" w:rsidRDefault="00A65F5F" w:rsidP="00A65F5F">
      <w:pPr>
        <w:ind w:right="-25"/>
        <w:rPr>
          <w:sz w:val="18"/>
          <w:szCs w:val="18"/>
          <w:vertAlign w:val="superscript"/>
        </w:rPr>
      </w:pPr>
    </w:p>
    <w:p w14:paraId="6AE1CA9F" w14:textId="77777777" w:rsidR="00A65F5F" w:rsidRDefault="00A65F5F" w:rsidP="00A65F5F">
      <w:pPr>
        <w:ind w:right="-25"/>
        <w:rPr>
          <w:sz w:val="18"/>
          <w:szCs w:val="18"/>
          <w:vertAlign w:val="superscript"/>
        </w:rPr>
      </w:pPr>
    </w:p>
    <w:p w14:paraId="73271AFD" w14:textId="77777777" w:rsidR="00A65F5F" w:rsidRDefault="00A65F5F" w:rsidP="00A65F5F">
      <w:pPr>
        <w:ind w:right="-25"/>
        <w:rPr>
          <w:sz w:val="18"/>
          <w:szCs w:val="18"/>
          <w:vertAlign w:val="superscript"/>
        </w:rPr>
      </w:pPr>
    </w:p>
    <w:p w14:paraId="3E434509" w14:textId="77777777" w:rsidR="00A65F5F" w:rsidRDefault="00A65F5F" w:rsidP="00A65F5F">
      <w:pPr>
        <w:ind w:right="-25"/>
        <w:rPr>
          <w:sz w:val="18"/>
          <w:szCs w:val="18"/>
          <w:vertAlign w:val="superscript"/>
        </w:rPr>
      </w:pPr>
    </w:p>
    <w:p w14:paraId="35BC3E1E" w14:textId="77777777" w:rsidR="00A65F5F" w:rsidRDefault="00A65F5F" w:rsidP="00A65F5F">
      <w:pPr>
        <w:ind w:right="-25"/>
        <w:rPr>
          <w:sz w:val="18"/>
          <w:szCs w:val="18"/>
          <w:vertAlign w:val="superscript"/>
        </w:rPr>
      </w:pPr>
    </w:p>
    <w:p w14:paraId="11A7C231" w14:textId="77777777" w:rsidR="00A65F5F" w:rsidRDefault="00A65F5F" w:rsidP="00A65F5F">
      <w:pPr>
        <w:ind w:right="-25"/>
        <w:rPr>
          <w:sz w:val="18"/>
          <w:szCs w:val="18"/>
          <w:vertAlign w:val="superscript"/>
        </w:rPr>
      </w:pPr>
    </w:p>
    <w:p w14:paraId="6BD19B9A" w14:textId="76DFEFC0" w:rsidR="00A65F5F" w:rsidRDefault="00A65F5F" w:rsidP="00A65F5F">
      <w:pPr>
        <w:ind w:right="-25"/>
        <w:rPr>
          <w:sz w:val="18"/>
          <w:szCs w:val="18"/>
          <w:vertAlign w:val="superscript"/>
        </w:rPr>
      </w:pPr>
    </w:p>
    <w:p w14:paraId="07FD828D" w14:textId="77777777" w:rsidR="00BA08EC" w:rsidRDefault="00BA08EC" w:rsidP="00A65F5F">
      <w:pPr>
        <w:ind w:right="-25"/>
        <w:rPr>
          <w:sz w:val="18"/>
          <w:szCs w:val="18"/>
          <w:vertAlign w:val="superscript"/>
        </w:rPr>
      </w:pPr>
    </w:p>
    <w:p w14:paraId="13B5EA59" w14:textId="77777777" w:rsidR="005236AF" w:rsidRDefault="005236AF" w:rsidP="00A65F5F">
      <w:pPr>
        <w:ind w:right="-25"/>
        <w:rPr>
          <w:sz w:val="18"/>
          <w:szCs w:val="18"/>
          <w:vertAlign w:val="superscript"/>
        </w:rPr>
      </w:pPr>
    </w:p>
    <w:p w14:paraId="048A5FF1" w14:textId="77777777" w:rsidR="005236AF" w:rsidRDefault="005236AF" w:rsidP="00A65F5F">
      <w:pPr>
        <w:ind w:right="-25"/>
        <w:rPr>
          <w:sz w:val="18"/>
          <w:szCs w:val="18"/>
          <w:vertAlign w:val="superscript"/>
        </w:rPr>
      </w:pPr>
    </w:p>
    <w:p w14:paraId="6D1D86DB" w14:textId="77777777" w:rsidR="005236AF" w:rsidRDefault="005236AF" w:rsidP="00A65F5F">
      <w:pPr>
        <w:ind w:right="-25"/>
        <w:rPr>
          <w:sz w:val="18"/>
          <w:szCs w:val="18"/>
          <w:vertAlign w:val="superscript"/>
        </w:rPr>
      </w:pPr>
    </w:p>
    <w:p w14:paraId="27D217F1" w14:textId="77777777" w:rsidR="005236AF" w:rsidRDefault="005236AF" w:rsidP="00A65F5F">
      <w:pPr>
        <w:ind w:right="-25"/>
        <w:rPr>
          <w:sz w:val="18"/>
          <w:szCs w:val="18"/>
          <w:vertAlign w:val="superscript"/>
        </w:rPr>
      </w:pPr>
    </w:p>
    <w:p w14:paraId="42DE1A04" w14:textId="77777777" w:rsidR="005236AF" w:rsidRDefault="005236AF" w:rsidP="00A65F5F">
      <w:pPr>
        <w:ind w:right="-25"/>
        <w:rPr>
          <w:sz w:val="18"/>
          <w:szCs w:val="18"/>
          <w:vertAlign w:val="superscript"/>
        </w:rPr>
      </w:pPr>
    </w:p>
    <w:p w14:paraId="634B5FED" w14:textId="77777777" w:rsidR="00A65F5F" w:rsidRDefault="00A65F5F" w:rsidP="00A65F5F">
      <w:pPr>
        <w:ind w:right="-25"/>
        <w:rPr>
          <w:sz w:val="18"/>
          <w:szCs w:val="18"/>
          <w:vertAlign w:val="superscript"/>
        </w:rPr>
      </w:pPr>
    </w:p>
    <w:p w14:paraId="5DABE009" w14:textId="77777777" w:rsidR="00A65F5F" w:rsidRDefault="00A65F5F" w:rsidP="00A65F5F">
      <w:pPr>
        <w:ind w:right="-25"/>
        <w:rPr>
          <w:sz w:val="18"/>
          <w:szCs w:val="18"/>
          <w:vertAlign w:val="superscript"/>
        </w:rPr>
      </w:pPr>
    </w:p>
    <w:p w14:paraId="25BEAA6A" w14:textId="77777777" w:rsidR="00A65F5F" w:rsidRDefault="00A65F5F" w:rsidP="00A65F5F">
      <w:pPr>
        <w:ind w:right="-25"/>
        <w:rPr>
          <w:sz w:val="18"/>
          <w:szCs w:val="18"/>
          <w:vertAlign w:val="superscript"/>
        </w:rPr>
      </w:pPr>
    </w:p>
    <w:p w14:paraId="1E9C62A0" w14:textId="77777777" w:rsidR="00A65F5F" w:rsidRDefault="00A65F5F" w:rsidP="00A65F5F">
      <w:pPr>
        <w:ind w:right="-25"/>
        <w:rPr>
          <w:sz w:val="18"/>
          <w:szCs w:val="18"/>
          <w:vertAlign w:val="superscript"/>
        </w:rPr>
      </w:pPr>
    </w:p>
    <w:p w14:paraId="70805DDA" w14:textId="77777777" w:rsidR="00A65F5F" w:rsidRDefault="00A65F5F" w:rsidP="00A65F5F">
      <w:pPr>
        <w:ind w:right="-25"/>
        <w:rPr>
          <w:sz w:val="18"/>
          <w:szCs w:val="18"/>
          <w:vertAlign w:val="superscript"/>
        </w:rPr>
      </w:pPr>
    </w:p>
    <w:p w14:paraId="079D6A36" w14:textId="77777777" w:rsidR="00A65F5F" w:rsidRDefault="00A65F5F" w:rsidP="00A65F5F">
      <w:pPr>
        <w:ind w:right="-25"/>
        <w:rPr>
          <w:sz w:val="18"/>
          <w:szCs w:val="18"/>
          <w:vertAlign w:val="superscript"/>
        </w:rPr>
      </w:pPr>
    </w:p>
    <w:p w14:paraId="0677D0A4" w14:textId="77777777" w:rsidR="00A65F5F" w:rsidRDefault="00A65F5F" w:rsidP="00A65F5F">
      <w:pPr>
        <w:ind w:left="-567" w:right="-25"/>
      </w:pPr>
    </w:p>
    <w:p w14:paraId="3D8BDD93" w14:textId="77777777" w:rsidR="00A65F5F" w:rsidRDefault="00A65F5F" w:rsidP="00A65F5F">
      <w:pPr>
        <w:ind w:left="-567" w:right="-25"/>
      </w:pPr>
    </w:p>
    <w:p w14:paraId="39C01A82" w14:textId="77777777" w:rsidR="00A65F5F" w:rsidRDefault="00A65F5F" w:rsidP="00A65F5F">
      <w:pPr>
        <w:ind w:left="-567" w:right="-25"/>
      </w:pPr>
    </w:p>
    <w:tbl>
      <w:tblPr>
        <w:tblpPr w:leftFromText="141" w:rightFromText="141" w:vertAnchor="text" w:horzAnchor="margin" w:tblpY="-748"/>
        <w:tblW w:w="9607" w:type="dxa"/>
        <w:tblCellMar>
          <w:left w:w="70" w:type="dxa"/>
          <w:right w:w="70" w:type="dxa"/>
        </w:tblCellMar>
        <w:tblLook w:val="04A0" w:firstRow="1" w:lastRow="0" w:firstColumn="1" w:lastColumn="0" w:noHBand="0" w:noVBand="1"/>
      </w:tblPr>
      <w:tblGrid>
        <w:gridCol w:w="2627"/>
        <w:gridCol w:w="6980"/>
      </w:tblGrid>
      <w:tr w:rsidR="00021D35" w:rsidRPr="00494F0E" w14:paraId="412E1FF8" w14:textId="77777777" w:rsidTr="00021D35">
        <w:trPr>
          <w:trHeight w:val="294"/>
        </w:trPr>
        <w:tc>
          <w:tcPr>
            <w:tcW w:w="2627" w:type="dxa"/>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5E6E67DB" w14:textId="77777777" w:rsidR="00021D35" w:rsidRPr="00494F0E" w:rsidRDefault="00021D35" w:rsidP="00021D35">
            <w:pPr>
              <w:ind w:right="0"/>
              <w:jc w:val="left"/>
              <w:rPr>
                <w:color w:val="FFFFFF"/>
                <w:sz w:val="18"/>
                <w:szCs w:val="18"/>
                <w:lang w:val="es-CR" w:eastAsia="es-CR"/>
              </w:rPr>
            </w:pPr>
            <w:r w:rsidRPr="00494F0E">
              <w:rPr>
                <w:color w:val="FFFFFF"/>
                <w:sz w:val="18"/>
                <w:szCs w:val="18"/>
                <w:lang w:val="es-CR" w:eastAsia="es-CR"/>
              </w:rPr>
              <w:t>Clase de Instrumentos</w:t>
            </w:r>
          </w:p>
        </w:tc>
        <w:tc>
          <w:tcPr>
            <w:tcW w:w="6980" w:type="dxa"/>
            <w:tcBorders>
              <w:top w:val="single" w:sz="4" w:space="0" w:color="auto"/>
              <w:left w:val="nil"/>
              <w:bottom w:val="single" w:sz="4" w:space="0" w:color="auto"/>
              <w:right w:val="single" w:sz="4" w:space="0" w:color="auto"/>
            </w:tcBorders>
            <w:shd w:val="clear" w:color="000000" w:fill="16365C"/>
            <w:noWrap/>
            <w:vAlign w:val="bottom"/>
            <w:hideMark/>
          </w:tcPr>
          <w:p w14:paraId="4C931234" w14:textId="77777777" w:rsidR="00021D35" w:rsidRPr="00494F0E" w:rsidRDefault="00021D35" w:rsidP="00021D35">
            <w:pPr>
              <w:ind w:right="0"/>
              <w:jc w:val="left"/>
              <w:rPr>
                <w:color w:val="FFFFFF"/>
                <w:sz w:val="18"/>
                <w:szCs w:val="18"/>
                <w:lang w:val="es-CR" w:eastAsia="es-CR"/>
              </w:rPr>
            </w:pPr>
            <w:r w:rsidRPr="00494F0E">
              <w:rPr>
                <w:color w:val="FFFFFF"/>
                <w:sz w:val="18"/>
                <w:szCs w:val="18"/>
                <w:lang w:val="es-CR" w:eastAsia="es-CR"/>
              </w:rPr>
              <w:t>Bonos Estandarizados</w:t>
            </w:r>
          </w:p>
        </w:tc>
      </w:tr>
      <w:tr w:rsidR="00021D35" w:rsidRPr="00494F0E" w14:paraId="6EFD854E" w14:textId="77777777" w:rsidTr="00021D35">
        <w:trPr>
          <w:trHeight w:val="294"/>
        </w:trPr>
        <w:tc>
          <w:tcPr>
            <w:tcW w:w="2627" w:type="dxa"/>
            <w:tcBorders>
              <w:top w:val="nil"/>
              <w:left w:val="single" w:sz="4" w:space="0" w:color="auto"/>
              <w:bottom w:val="single" w:sz="4" w:space="0" w:color="auto"/>
              <w:right w:val="single" w:sz="4" w:space="0" w:color="auto"/>
            </w:tcBorders>
            <w:shd w:val="clear" w:color="000000" w:fill="16365C"/>
            <w:noWrap/>
            <w:vAlign w:val="bottom"/>
            <w:hideMark/>
          </w:tcPr>
          <w:p w14:paraId="218D4716" w14:textId="77777777" w:rsidR="00021D35" w:rsidRPr="00494F0E" w:rsidRDefault="00021D35" w:rsidP="00021D35">
            <w:pPr>
              <w:ind w:right="0"/>
              <w:jc w:val="left"/>
              <w:rPr>
                <w:color w:val="FFFFFF"/>
                <w:sz w:val="18"/>
                <w:szCs w:val="18"/>
                <w:lang w:val="es-CR" w:eastAsia="es-CR"/>
              </w:rPr>
            </w:pPr>
            <w:r w:rsidRPr="00494F0E">
              <w:rPr>
                <w:color w:val="FFFFFF"/>
                <w:sz w:val="18"/>
                <w:szCs w:val="18"/>
                <w:lang w:val="es-CR" w:eastAsia="es-CR"/>
              </w:rPr>
              <w:t>Nombre del Programa</w:t>
            </w:r>
          </w:p>
        </w:tc>
        <w:tc>
          <w:tcPr>
            <w:tcW w:w="6980" w:type="dxa"/>
            <w:tcBorders>
              <w:top w:val="single" w:sz="4" w:space="0" w:color="auto"/>
              <w:left w:val="nil"/>
              <w:bottom w:val="single" w:sz="4" w:space="0" w:color="auto"/>
              <w:right w:val="single" w:sz="4" w:space="0" w:color="auto"/>
            </w:tcBorders>
            <w:shd w:val="clear" w:color="000000" w:fill="16365C"/>
            <w:noWrap/>
            <w:vAlign w:val="bottom"/>
            <w:hideMark/>
          </w:tcPr>
          <w:p w14:paraId="43ECD03D" w14:textId="77777777" w:rsidR="00021D35" w:rsidRPr="00494F0E" w:rsidRDefault="00021D35" w:rsidP="00021D35">
            <w:pPr>
              <w:ind w:right="0"/>
              <w:jc w:val="left"/>
              <w:rPr>
                <w:color w:val="FFFFFF"/>
                <w:sz w:val="18"/>
                <w:szCs w:val="18"/>
                <w:lang w:val="es-CR" w:eastAsia="es-CR"/>
              </w:rPr>
            </w:pPr>
            <w:r w:rsidRPr="00494F0E">
              <w:rPr>
                <w:color w:val="FFFFFF"/>
                <w:sz w:val="18"/>
                <w:szCs w:val="18"/>
                <w:lang w:val="es-CR" w:eastAsia="es-CR"/>
              </w:rPr>
              <w:t>Programa E de Emisiones de Bonos Estandarizados</w:t>
            </w:r>
          </w:p>
        </w:tc>
      </w:tr>
      <w:tr w:rsidR="00021D35" w:rsidRPr="00494F0E" w14:paraId="238269D3" w14:textId="77777777" w:rsidTr="00021D35">
        <w:trPr>
          <w:trHeight w:val="516"/>
        </w:trPr>
        <w:tc>
          <w:tcPr>
            <w:tcW w:w="2627" w:type="dxa"/>
            <w:tcBorders>
              <w:top w:val="nil"/>
              <w:left w:val="single" w:sz="4" w:space="0" w:color="auto"/>
              <w:bottom w:val="single" w:sz="4" w:space="0" w:color="auto"/>
              <w:right w:val="single" w:sz="4" w:space="0" w:color="auto"/>
            </w:tcBorders>
            <w:shd w:val="clear" w:color="auto" w:fill="auto"/>
            <w:vAlign w:val="bottom"/>
            <w:hideMark/>
          </w:tcPr>
          <w:p w14:paraId="0EEFF6AD"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Monto total del programa y moneda</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26D70FB5"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$200.000.000,00 dólares moneda de curso legal de los Estados Unidos</w:t>
            </w:r>
          </w:p>
        </w:tc>
      </w:tr>
      <w:tr w:rsidR="00021D35" w:rsidRPr="00494F0E" w14:paraId="13D08312"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D2279AD"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Monto total inscrito</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0EA2BA44"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$200.000.000,00 dólares moneda de curso legal de los Estados Unidos</w:t>
            </w:r>
          </w:p>
        </w:tc>
      </w:tr>
      <w:tr w:rsidR="00021D35" w:rsidRPr="00494F0E" w14:paraId="5CC35D5F"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140FE24"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Monto por inscribir</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7562722F"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w:t>
            </w:r>
          </w:p>
        </w:tc>
      </w:tr>
      <w:tr w:rsidR="00021D35" w:rsidRPr="00494F0E" w14:paraId="3B0B0D4E" w14:textId="77777777" w:rsidTr="00021D35">
        <w:trPr>
          <w:trHeight w:val="486"/>
        </w:trPr>
        <w:tc>
          <w:tcPr>
            <w:tcW w:w="2627" w:type="dxa"/>
            <w:tcBorders>
              <w:top w:val="nil"/>
              <w:left w:val="single" w:sz="4" w:space="0" w:color="auto"/>
              <w:bottom w:val="single" w:sz="4" w:space="0" w:color="auto"/>
              <w:right w:val="single" w:sz="4" w:space="0" w:color="auto"/>
            </w:tcBorders>
            <w:shd w:val="clear" w:color="auto" w:fill="auto"/>
            <w:vAlign w:val="bottom"/>
            <w:hideMark/>
          </w:tcPr>
          <w:p w14:paraId="4DE1FFB8"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Series del Programa que se encuentran emitidas</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721C197F"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E2</w:t>
            </w:r>
          </w:p>
        </w:tc>
      </w:tr>
      <w:tr w:rsidR="00021D35" w:rsidRPr="00494F0E" w14:paraId="1B8124CD"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320A4007"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Plazo</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4E472C73"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13 años</w:t>
            </w:r>
          </w:p>
        </w:tc>
      </w:tr>
      <w:tr w:rsidR="00021D35" w:rsidRPr="00494F0E" w14:paraId="6F003797" w14:textId="77777777" w:rsidTr="00021D35">
        <w:trPr>
          <w:trHeight w:val="516"/>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46D8AF7"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Monto de cada emisión</w:t>
            </w:r>
          </w:p>
        </w:tc>
        <w:tc>
          <w:tcPr>
            <w:tcW w:w="6980" w:type="dxa"/>
            <w:tcBorders>
              <w:top w:val="single" w:sz="4" w:space="0" w:color="auto"/>
              <w:left w:val="nil"/>
              <w:bottom w:val="single" w:sz="4" w:space="0" w:color="auto"/>
              <w:right w:val="single" w:sz="4" w:space="0" w:color="000000"/>
            </w:tcBorders>
            <w:shd w:val="clear" w:color="auto" w:fill="auto"/>
            <w:vAlign w:val="bottom"/>
            <w:hideMark/>
          </w:tcPr>
          <w:p w14:paraId="3978EBF0"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$125.000.000,00 (ciento veinticinco millones de dólares)</w:t>
            </w:r>
          </w:p>
        </w:tc>
      </w:tr>
      <w:tr w:rsidR="00021D35" w:rsidRPr="00494F0E" w14:paraId="5D972829"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7661A126"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Monto colocado por emisión</w:t>
            </w:r>
          </w:p>
        </w:tc>
        <w:tc>
          <w:tcPr>
            <w:tcW w:w="6980" w:type="dxa"/>
            <w:tcBorders>
              <w:top w:val="single" w:sz="4" w:space="0" w:color="auto"/>
              <w:left w:val="nil"/>
              <w:bottom w:val="single" w:sz="4" w:space="0" w:color="auto"/>
              <w:right w:val="single" w:sz="4" w:space="0" w:color="000000"/>
            </w:tcBorders>
            <w:shd w:val="clear" w:color="auto" w:fill="auto"/>
            <w:vAlign w:val="bottom"/>
            <w:hideMark/>
          </w:tcPr>
          <w:p w14:paraId="1A703468"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$125,000,000,00 (colocado en su totalidad)</w:t>
            </w:r>
          </w:p>
        </w:tc>
      </w:tr>
      <w:tr w:rsidR="00021D35" w:rsidRPr="00494F0E" w14:paraId="4A9D601A"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0AEC9772"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Fecha de emisión</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317AAF21"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12 de diciembre de 2011</w:t>
            </w:r>
          </w:p>
        </w:tc>
      </w:tr>
      <w:tr w:rsidR="00021D35" w:rsidRPr="00494F0E" w14:paraId="0E230931"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127C9A7E"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Fecha de vencimiento</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513F8D78"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12 de diciembre de 2024</w:t>
            </w:r>
          </w:p>
        </w:tc>
      </w:tr>
      <w:tr w:rsidR="00021D35" w:rsidRPr="00494F0E" w14:paraId="32C24DA7"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7124530C"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Denominación o valor facial</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1992E0AF"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$1,000,00 (mil dólares)</w:t>
            </w:r>
          </w:p>
        </w:tc>
      </w:tr>
      <w:tr w:rsidR="00021D35" w:rsidRPr="00494F0E" w14:paraId="5844667A"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329BC5C"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Tasa de interés bruta</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532BF435"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7% / (1-ISR)</w:t>
            </w:r>
          </w:p>
        </w:tc>
      </w:tr>
      <w:tr w:rsidR="00021D35" w:rsidRPr="00494F0E" w14:paraId="3BCE1FC0" w14:textId="77777777" w:rsidTr="00021D35">
        <w:trPr>
          <w:trHeight w:val="309"/>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31C2C43"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Tasa de interés neta</w:t>
            </w:r>
          </w:p>
        </w:tc>
        <w:tc>
          <w:tcPr>
            <w:tcW w:w="6980" w:type="dxa"/>
            <w:tcBorders>
              <w:top w:val="single" w:sz="4" w:space="0" w:color="auto"/>
              <w:left w:val="nil"/>
              <w:bottom w:val="single" w:sz="4" w:space="0" w:color="auto"/>
              <w:right w:val="single" w:sz="4" w:space="0" w:color="000000"/>
            </w:tcBorders>
            <w:shd w:val="clear" w:color="auto" w:fill="auto"/>
            <w:noWrap/>
            <w:vAlign w:val="bottom"/>
            <w:hideMark/>
          </w:tcPr>
          <w:p w14:paraId="7ADAED4A"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7%</w:t>
            </w:r>
          </w:p>
        </w:tc>
      </w:tr>
      <w:tr w:rsidR="00021D35" w:rsidRPr="00494F0E" w14:paraId="603179B7" w14:textId="77777777" w:rsidTr="00021D35">
        <w:trPr>
          <w:trHeight w:val="309"/>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DA4E9EE"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Factor de cálculo</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6AAF3FDA"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30/360</w:t>
            </w:r>
          </w:p>
        </w:tc>
      </w:tr>
      <w:tr w:rsidR="00021D35" w:rsidRPr="00494F0E" w14:paraId="06303BA2" w14:textId="77777777" w:rsidTr="00021D35">
        <w:trPr>
          <w:trHeight w:val="472"/>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517546B"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Periodicidad</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4B0E7F23"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Cupón Trimestral</w:t>
            </w:r>
          </w:p>
        </w:tc>
      </w:tr>
      <w:tr w:rsidR="00021D35" w:rsidRPr="00494F0E" w14:paraId="64FBA593"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036C6822"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Amortización del principal</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70E38F41"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Al Vencimiento</w:t>
            </w:r>
          </w:p>
        </w:tc>
      </w:tr>
      <w:tr w:rsidR="00021D35" w:rsidRPr="00494F0E" w14:paraId="790D6328"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250BE713"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Forma de representación</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54AC823E" w14:textId="77777777" w:rsidR="00021D35" w:rsidRPr="00494F0E" w:rsidRDefault="00021D35" w:rsidP="00021D35">
            <w:pPr>
              <w:ind w:right="0"/>
              <w:jc w:val="left"/>
              <w:rPr>
                <w:color w:val="000000"/>
                <w:sz w:val="18"/>
                <w:szCs w:val="18"/>
                <w:lang w:val="es-CR" w:eastAsia="es-CR"/>
              </w:rPr>
            </w:pPr>
            <w:r>
              <w:rPr>
                <w:color w:val="000000"/>
                <w:sz w:val="18"/>
                <w:szCs w:val="18"/>
                <w:lang w:val="es-CR" w:eastAsia="es-CR"/>
              </w:rPr>
              <w:t>Anotación electrónica en cuenta</w:t>
            </w:r>
          </w:p>
        </w:tc>
      </w:tr>
      <w:tr w:rsidR="00021D35" w:rsidRPr="00494F0E" w14:paraId="1AE98823"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11A1DF2F"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Ley de cirulación</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09FBC60D"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A la orden</w:t>
            </w:r>
          </w:p>
        </w:tc>
      </w:tr>
      <w:tr w:rsidR="00021D35" w:rsidRPr="00494F0E" w14:paraId="4F8F87F3" w14:textId="77777777" w:rsidTr="00021D35">
        <w:trPr>
          <w:trHeight w:val="294"/>
        </w:trPr>
        <w:tc>
          <w:tcPr>
            <w:tcW w:w="2627" w:type="dxa"/>
            <w:tcBorders>
              <w:top w:val="nil"/>
              <w:left w:val="single" w:sz="4" w:space="0" w:color="auto"/>
              <w:bottom w:val="single" w:sz="4" w:space="0" w:color="auto"/>
              <w:right w:val="single" w:sz="4" w:space="0" w:color="auto"/>
            </w:tcBorders>
            <w:shd w:val="clear" w:color="auto" w:fill="auto"/>
            <w:vAlign w:val="bottom"/>
            <w:hideMark/>
          </w:tcPr>
          <w:p w14:paraId="0C186F06"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Forma de colocaciones realizadas</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14:paraId="2067F786" w14:textId="77777777" w:rsidR="00021D35" w:rsidRPr="00494F0E" w:rsidRDefault="00021D35" w:rsidP="00021D35">
            <w:pPr>
              <w:ind w:right="0"/>
              <w:jc w:val="left"/>
              <w:rPr>
                <w:color w:val="000000"/>
                <w:sz w:val="18"/>
                <w:szCs w:val="18"/>
                <w:lang w:val="es-CR" w:eastAsia="es-CR"/>
              </w:rPr>
            </w:pPr>
            <w:r w:rsidRPr="00494F0E">
              <w:rPr>
                <w:color w:val="000000"/>
                <w:sz w:val="18"/>
                <w:szCs w:val="18"/>
                <w:lang w:val="es-CR" w:eastAsia="es-CR"/>
              </w:rPr>
              <w:t>Subasta por Bolsa</w:t>
            </w:r>
          </w:p>
        </w:tc>
      </w:tr>
    </w:tbl>
    <w:p w14:paraId="32F6CBA2" w14:textId="77777777" w:rsidR="00A65F5F" w:rsidRPr="001808C8" w:rsidRDefault="00A65F5F" w:rsidP="00A65F5F">
      <w:pPr>
        <w:ind w:right="-25"/>
        <w:jc w:val="left"/>
        <w:rPr>
          <w:b/>
          <w:sz w:val="16"/>
        </w:rPr>
      </w:pPr>
      <w:r w:rsidRPr="001808C8">
        <w:rPr>
          <w:b/>
          <w:sz w:val="16"/>
        </w:rPr>
        <w:t>ISR: Impuesto sobre la Renta</w:t>
      </w:r>
    </w:p>
    <w:p w14:paraId="40EED8CD" w14:textId="77777777" w:rsidR="00A65F5F" w:rsidRDefault="00A65F5F" w:rsidP="00A65F5F">
      <w:pPr>
        <w:ind w:left="-567" w:right="-25"/>
        <w:jc w:val="center"/>
      </w:pPr>
    </w:p>
    <w:p w14:paraId="25FFFDE0" w14:textId="77777777" w:rsidR="00A65F5F" w:rsidRDefault="00A65F5F" w:rsidP="00A65F5F">
      <w:pPr>
        <w:ind w:left="-567" w:right="-25"/>
        <w:jc w:val="center"/>
      </w:pPr>
    </w:p>
    <w:p w14:paraId="68BB4633" w14:textId="77777777" w:rsidR="00A65F5F" w:rsidRDefault="00A65F5F" w:rsidP="00A65F5F">
      <w:pPr>
        <w:ind w:left="-567" w:right="-25"/>
        <w:jc w:val="center"/>
      </w:pPr>
    </w:p>
    <w:p w14:paraId="73810BD5" w14:textId="77777777" w:rsidR="00A65F5F" w:rsidRDefault="00A65F5F" w:rsidP="00A65F5F">
      <w:pPr>
        <w:ind w:left="-567" w:right="-25"/>
        <w:jc w:val="center"/>
      </w:pPr>
    </w:p>
    <w:p w14:paraId="38AFED81" w14:textId="77777777" w:rsidR="00A65F5F" w:rsidRDefault="00A65F5F" w:rsidP="00A65F5F">
      <w:pPr>
        <w:ind w:left="-567" w:right="-25"/>
        <w:jc w:val="center"/>
      </w:pPr>
    </w:p>
    <w:p w14:paraId="503742E8" w14:textId="77777777" w:rsidR="00A65F5F" w:rsidRDefault="00A65F5F" w:rsidP="00A65F5F">
      <w:pPr>
        <w:ind w:left="-567" w:right="-25"/>
        <w:jc w:val="center"/>
      </w:pPr>
    </w:p>
    <w:p w14:paraId="730E9E56" w14:textId="77777777" w:rsidR="00A65F5F" w:rsidRDefault="00A65F5F" w:rsidP="00A65F5F">
      <w:pPr>
        <w:ind w:left="-567" w:right="-25"/>
        <w:jc w:val="center"/>
      </w:pPr>
    </w:p>
    <w:p w14:paraId="12DD4434" w14:textId="77777777" w:rsidR="00A65F5F" w:rsidRDefault="00A65F5F" w:rsidP="00A65F5F">
      <w:pPr>
        <w:ind w:left="-567" w:right="-25"/>
        <w:jc w:val="center"/>
      </w:pPr>
    </w:p>
    <w:p w14:paraId="4D8E3537" w14:textId="77777777" w:rsidR="00A65F5F" w:rsidRDefault="00A65F5F" w:rsidP="00A65F5F">
      <w:pPr>
        <w:ind w:left="-567" w:right="-25"/>
        <w:jc w:val="center"/>
      </w:pPr>
    </w:p>
    <w:p w14:paraId="639C4CE7" w14:textId="77777777" w:rsidR="00A65F5F" w:rsidRDefault="00A65F5F" w:rsidP="00A65F5F">
      <w:pPr>
        <w:ind w:left="-567" w:right="-25"/>
        <w:jc w:val="center"/>
      </w:pPr>
    </w:p>
    <w:p w14:paraId="7E3F3685" w14:textId="77777777" w:rsidR="00A65F5F" w:rsidRDefault="00A65F5F" w:rsidP="00A65F5F">
      <w:pPr>
        <w:ind w:left="-567" w:right="-25"/>
        <w:jc w:val="center"/>
      </w:pPr>
    </w:p>
    <w:p w14:paraId="1631434C" w14:textId="77777777" w:rsidR="00021D35" w:rsidRDefault="00021D35" w:rsidP="00A65F5F">
      <w:pPr>
        <w:ind w:left="-567" w:right="-25"/>
        <w:jc w:val="center"/>
      </w:pPr>
    </w:p>
    <w:p w14:paraId="12D1472D" w14:textId="77777777" w:rsidR="00021D35" w:rsidRDefault="00021D35" w:rsidP="00A65F5F">
      <w:pPr>
        <w:ind w:left="-567" w:right="-25"/>
        <w:jc w:val="center"/>
      </w:pPr>
    </w:p>
    <w:p w14:paraId="558BB72A" w14:textId="77777777" w:rsidR="00021D35" w:rsidRDefault="00021D35" w:rsidP="00A65F5F">
      <w:pPr>
        <w:ind w:left="-567" w:right="-25"/>
        <w:jc w:val="center"/>
      </w:pPr>
    </w:p>
    <w:p w14:paraId="00175C6C" w14:textId="77777777" w:rsidR="00A65F5F" w:rsidRDefault="00A65F5F" w:rsidP="00A65F5F">
      <w:pPr>
        <w:ind w:left="-567" w:right="-25"/>
      </w:pPr>
    </w:p>
    <w:tbl>
      <w:tblPr>
        <w:tblW w:w="8926" w:type="dxa"/>
        <w:tblCellMar>
          <w:left w:w="70" w:type="dxa"/>
          <w:right w:w="70" w:type="dxa"/>
        </w:tblCellMar>
        <w:tblLook w:val="04A0" w:firstRow="1" w:lastRow="0" w:firstColumn="1" w:lastColumn="0" w:noHBand="0" w:noVBand="1"/>
      </w:tblPr>
      <w:tblGrid>
        <w:gridCol w:w="2820"/>
        <w:gridCol w:w="6106"/>
      </w:tblGrid>
      <w:tr w:rsidR="00E2202F" w:rsidRPr="00E2202F" w14:paraId="06325A68" w14:textId="77777777" w:rsidTr="00E2202F">
        <w:trPr>
          <w:trHeight w:val="300"/>
        </w:trPr>
        <w:tc>
          <w:tcPr>
            <w:tcW w:w="2820" w:type="dxa"/>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1B414054" w14:textId="77777777" w:rsidR="00E2202F" w:rsidRPr="00E2202F" w:rsidRDefault="00E2202F" w:rsidP="00E2202F">
            <w:pPr>
              <w:ind w:right="0"/>
              <w:jc w:val="left"/>
              <w:rPr>
                <w:color w:val="FFFFFF"/>
                <w:sz w:val="18"/>
                <w:szCs w:val="18"/>
                <w:lang w:val="es-CR" w:eastAsia="es-CR"/>
              </w:rPr>
            </w:pPr>
            <w:r w:rsidRPr="00E2202F">
              <w:rPr>
                <w:color w:val="FFFFFF"/>
                <w:sz w:val="18"/>
                <w:szCs w:val="18"/>
                <w:lang w:val="es-CR" w:eastAsia="es-CR"/>
              </w:rPr>
              <w:t>Clase de Instrumentos</w:t>
            </w:r>
          </w:p>
        </w:tc>
        <w:tc>
          <w:tcPr>
            <w:tcW w:w="6106" w:type="dxa"/>
            <w:tcBorders>
              <w:top w:val="single" w:sz="4" w:space="0" w:color="auto"/>
              <w:left w:val="nil"/>
              <w:bottom w:val="single" w:sz="4" w:space="0" w:color="auto"/>
              <w:right w:val="single" w:sz="4" w:space="0" w:color="auto"/>
            </w:tcBorders>
            <w:shd w:val="clear" w:color="000000" w:fill="16365C"/>
            <w:noWrap/>
            <w:vAlign w:val="bottom"/>
            <w:hideMark/>
          </w:tcPr>
          <w:p w14:paraId="314D869F" w14:textId="77777777" w:rsidR="00E2202F" w:rsidRPr="00E2202F" w:rsidRDefault="00E2202F" w:rsidP="00E2202F">
            <w:pPr>
              <w:ind w:right="0"/>
              <w:jc w:val="center"/>
              <w:rPr>
                <w:color w:val="FFFFFF"/>
                <w:sz w:val="18"/>
                <w:szCs w:val="18"/>
                <w:lang w:val="es-CR" w:eastAsia="es-CR"/>
              </w:rPr>
            </w:pPr>
            <w:r w:rsidRPr="00E2202F">
              <w:rPr>
                <w:color w:val="FFFFFF"/>
                <w:sz w:val="18"/>
                <w:szCs w:val="18"/>
                <w:lang w:val="es-CR" w:eastAsia="es-CR"/>
              </w:rPr>
              <w:t>Bonos Estandarizados</w:t>
            </w:r>
          </w:p>
        </w:tc>
      </w:tr>
      <w:tr w:rsidR="00E2202F" w:rsidRPr="00E2202F" w14:paraId="4FE2525D" w14:textId="77777777" w:rsidTr="00E2202F">
        <w:trPr>
          <w:trHeight w:val="300"/>
        </w:trPr>
        <w:tc>
          <w:tcPr>
            <w:tcW w:w="2820" w:type="dxa"/>
            <w:tcBorders>
              <w:top w:val="nil"/>
              <w:left w:val="single" w:sz="4" w:space="0" w:color="auto"/>
              <w:bottom w:val="single" w:sz="4" w:space="0" w:color="auto"/>
              <w:right w:val="single" w:sz="4" w:space="0" w:color="auto"/>
            </w:tcBorders>
            <w:shd w:val="clear" w:color="000000" w:fill="16365C"/>
            <w:noWrap/>
            <w:vAlign w:val="bottom"/>
            <w:hideMark/>
          </w:tcPr>
          <w:p w14:paraId="54C2F6AF" w14:textId="77777777" w:rsidR="00E2202F" w:rsidRPr="00E2202F" w:rsidRDefault="00E2202F" w:rsidP="00E2202F">
            <w:pPr>
              <w:ind w:right="0"/>
              <w:jc w:val="left"/>
              <w:rPr>
                <w:color w:val="FFFFFF"/>
                <w:sz w:val="18"/>
                <w:szCs w:val="18"/>
                <w:lang w:val="es-CR" w:eastAsia="es-CR"/>
              </w:rPr>
            </w:pPr>
            <w:r w:rsidRPr="00E2202F">
              <w:rPr>
                <w:color w:val="FFFFFF"/>
                <w:sz w:val="18"/>
                <w:szCs w:val="18"/>
                <w:lang w:val="es-CR" w:eastAsia="es-CR"/>
              </w:rPr>
              <w:t>Nombre del Programa</w:t>
            </w:r>
          </w:p>
        </w:tc>
        <w:tc>
          <w:tcPr>
            <w:tcW w:w="6106" w:type="dxa"/>
            <w:tcBorders>
              <w:top w:val="single" w:sz="4" w:space="0" w:color="auto"/>
              <w:left w:val="nil"/>
              <w:bottom w:val="single" w:sz="4" w:space="0" w:color="auto"/>
              <w:right w:val="single" w:sz="4" w:space="0" w:color="auto"/>
            </w:tcBorders>
            <w:shd w:val="clear" w:color="000000" w:fill="16365C"/>
            <w:noWrap/>
            <w:vAlign w:val="bottom"/>
            <w:hideMark/>
          </w:tcPr>
          <w:p w14:paraId="567E8C89" w14:textId="77777777" w:rsidR="00E2202F" w:rsidRPr="00E2202F" w:rsidRDefault="00E2202F" w:rsidP="00E2202F">
            <w:pPr>
              <w:ind w:right="0"/>
              <w:jc w:val="center"/>
              <w:rPr>
                <w:color w:val="FFFFFF"/>
                <w:sz w:val="18"/>
                <w:szCs w:val="18"/>
                <w:lang w:val="es-CR" w:eastAsia="es-CR"/>
              </w:rPr>
            </w:pPr>
            <w:r w:rsidRPr="00E2202F">
              <w:rPr>
                <w:color w:val="FFFFFF"/>
                <w:sz w:val="18"/>
                <w:szCs w:val="18"/>
                <w:lang w:val="es-CR" w:eastAsia="es-CR"/>
              </w:rPr>
              <w:t>Programa F de Emisiones de Bonos Estandarizados</w:t>
            </w:r>
          </w:p>
        </w:tc>
      </w:tr>
      <w:tr w:rsidR="00E2202F" w:rsidRPr="00E2202F" w14:paraId="4EE117D0"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387E9785"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Monto total del programa y moneda</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6B87AC12"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$400.000.000,00 (o su equivalente en colones)</w:t>
            </w:r>
          </w:p>
        </w:tc>
      </w:tr>
      <w:tr w:rsidR="00E2202F" w:rsidRPr="00E2202F" w14:paraId="38C02128"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5B6858"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Monto total inscrito</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49BED362"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$400.000.000,00</w:t>
            </w:r>
          </w:p>
        </w:tc>
      </w:tr>
      <w:tr w:rsidR="00E2202F" w:rsidRPr="00E2202F" w14:paraId="30198C72" w14:textId="77777777" w:rsidTr="00E2202F">
        <w:trPr>
          <w:trHeight w:val="52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DC4CB1B"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Monto por inscribir</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41B0A0E7"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w:t>
            </w:r>
          </w:p>
        </w:tc>
      </w:tr>
      <w:tr w:rsidR="006A4B07" w:rsidRPr="00E2202F" w14:paraId="51A93970" w14:textId="77777777" w:rsidTr="00F063C7">
        <w:trPr>
          <w:trHeight w:val="525"/>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5F2DB2AD"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Series del Programa que se encuentran emitidas</w:t>
            </w:r>
          </w:p>
        </w:tc>
        <w:tc>
          <w:tcPr>
            <w:tcW w:w="6106" w:type="dxa"/>
            <w:tcBorders>
              <w:top w:val="nil"/>
              <w:left w:val="nil"/>
              <w:bottom w:val="single" w:sz="4" w:space="0" w:color="auto"/>
              <w:right w:val="single" w:sz="4" w:space="0" w:color="auto"/>
            </w:tcBorders>
            <w:shd w:val="clear" w:color="auto" w:fill="auto"/>
            <w:noWrap/>
            <w:vAlign w:val="bottom"/>
          </w:tcPr>
          <w:p w14:paraId="001F73C7"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F4</w:t>
            </w:r>
          </w:p>
        </w:tc>
      </w:tr>
      <w:tr w:rsidR="006A4B07" w:rsidRPr="00E2202F" w14:paraId="63459C7C" w14:textId="77777777" w:rsidTr="009B2EE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40D549B"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Plazo</w:t>
            </w:r>
          </w:p>
        </w:tc>
        <w:tc>
          <w:tcPr>
            <w:tcW w:w="6106" w:type="dxa"/>
            <w:tcBorders>
              <w:top w:val="nil"/>
              <w:left w:val="nil"/>
              <w:bottom w:val="single" w:sz="4" w:space="0" w:color="auto"/>
              <w:right w:val="single" w:sz="4" w:space="0" w:color="auto"/>
            </w:tcBorders>
            <w:shd w:val="clear" w:color="auto" w:fill="auto"/>
            <w:noWrap/>
            <w:vAlign w:val="bottom"/>
          </w:tcPr>
          <w:p w14:paraId="6413B64D"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15 años</w:t>
            </w:r>
          </w:p>
        </w:tc>
      </w:tr>
      <w:tr w:rsidR="006A4B07" w:rsidRPr="00E2202F" w14:paraId="7CF98455" w14:textId="77777777" w:rsidTr="00CE504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912C33"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Monto de cada emisión</w:t>
            </w:r>
          </w:p>
        </w:tc>
        <w:tc>
          <w:tcPr>
            <w:tcW w:w="6106" w:type="dxa"/>
            <w:tcBorders>
              <w:top w:val="nil"/>
              <w:left w:val="nil"/>
              <w:bottom w:val="single" w:sz="4" w:space="0" w:color="auto"/>
              <w:right w:val="single" w:sz="4" w:space="0" w:color="auto"/>
            </w:tcBorders>
            <w:shd w:val="clear" w:color="auto" w:fill="auto"/>
            <w:vAlign w:val="bottom"/>
          </w:tcPr>
          <w:p w14:paraId="6882CCD9"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$198.400.000,00</w:t>
            </w:r>
          </w:p>
        </w:tc>
      </w:tr>
      <w:tr w:rsidR="006A4B07" w:rsidRPr="00E2202F" w14:paraId="192F999D" w14:textId="77777777" w:rsidTr="000E70DD">
        <w:trPr>
          <w:trHeight w:val="52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56B97A"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Monto colocado por emisión</w:t>
            </w:r>
          </w:p>
        </w:tc>
        <w:tc>
          <w:tcPr>
            <w:tcW w:w="6106" w:type="dxa"/>
            <w:tcBorders>
              <w:top w:val="nil"/>
              <w:left w:val="nil"/>
              <w:bottom w:val="single" w:sz="4" w:space="0" w:color="auto"/>
              <w:right w:val="single" w:sz="4" w:space="0" w:color="auto"/>
            </w:tcBorders>
            <w:shd w:val="clear" w:color="auto" w:fill="auto"/>
            <w:vAlign w:val="bottom"/>
          </w:tcPr>
          <w:p w14:paraId="041E4AFE"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$175.000.000,00</w:t>
            </w:r>
          </w:p>
        </w:tc>
      </w:tr>
      <w:tr w:rsidR="006A4B07" w:rsidRPr="00E2202F" w14:paraId="422296D2" w14:textId="77777777" w:rsidTr="003F6BB6">
        <w:trPr>
          <w:trHeight w:val="52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24DD5F"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Fecha de emisión</w:t>
            </w:r>
          </w:p>
        </w:tc>
        <w:tc>
          <w:tcPr>
            <w:tcW w:w="6106" w:type="dxa"/>
            <w:tcBorders>
              <w:top w:val="nil"/>
              <w:left w:val="nil"/>
              <w:bottom w:val="single" w:sz="4" w:space="0" w:color="auto"/>
              <w:right w:val="single" w:sz="4" w:space="0" w:color="auto"/>
            </w:tcBorders>
            <w:shd w:val="clear" w:color="auto" w:fill="auto"/>
            <w:noWrap/>
            <w:vAlign w:val="bottom"/>
          </w:tcPr>
          <w:p w14:paraId="148EB781"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07 de setiembre de 2012</w:t>
            </w:r>
          </w:p>
        </w:tc>
      </w:tr>
      <w:tr w:rsidR="006A4B07" w:rsidRPr="00E2202F" w14:paraId="7B1445A9" w14:textId="77777777" w:rsidTr="0070755C">
        <w:trPr>
          <w:trHeight w:val="31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00D0A7"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Fecha de vencimiento</w:t>
            </w:r>
          </w:p>
        </w:tc>
        <w:tc>
          <w:tcPr>
            <w:tcW w:w="6106" w:type="dxa"/>
            <w:tcBorders>
              <w:top w:val="nil"/>
              <w:left w:val="nil"/>
              <w:bottom w:val="single" w:sz="4" w:space="0" w:color="auto"/>
              <w:right w:val="single" w:sz="4" w:space="0" w:color="auto"/>
            </w:tcBorders>
            <w:shd w:val="clear" w:color="auto" w:fill="auto"/>
            <w:noWrap/>
            <w:vAlign w:val="bottom"/>
          </w:tcPr>
          <w:p w14:paraId="45AC3905"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07 de setiembre de 2027</w:t>
            </w:r>
          </w:p>
        </w:tc>
      </w:tr>
      <w:tr w:rsidR="006A4B07" w:rsidRPr="00E2202F" w14:paraId="71B5FD5A" w14:textId="77777777" w:rsidTr="008213FA">
        <w:trPr>
          <w:trHeight w:val="31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C16439"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Denominación o valor facial</w:t>
            </w:r>
          </w:p>
        </w:tc>
        <w:tc>
          <w:tcPr>
            <w:tcW w:w="6106" w:type="dxa"/>
            <w:tcBorders>
              <w:top w:val="nil"/>
              <w:left w:val="nil"/>
              <w:bottom w:val="single" w:sz="4" w:space="0" w:color="auto"/>
              <w:right w:val="single" w:sz="4" w:space="0" w:color="auto"/>
            </w:tcBorders>
            <w:shd w:val="clear" w:color="auto" w:fill="auto"/>
            <w:noWrap/>
            <w:vAlign w:val="bottom"/>
          </w:tcPr>
          <w:p w14:paraId="43BE2C4A"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$1,000,00</w:t>
            </w:r>
          </w:p>
        </w:tc>
      </w:tr>
      <w:tr w:rsidR="006A4B07" w:rsidRPr="00E2202F" w14:paraId="3336A486" w14:textId="77777777" w:rsidTr="00DF6F26">
        <w:trPr>
          <w:trHeight w:val="78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C56A2B"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Tasa de interés bruta</w:t>
            </w:r>
          </w:p>
        </w:tc>
        <w:tc>
          <w:tcPr>
            <w:tcW w:w="6106" w:type="dxa"/>
            <w:tcBorders>
              <w:top w:val="nil"/>
              <w:left w:val="nil"/>
              <w:bottom w:val="single" w:sz="4" w:space="0" w:color="auto"/>
              <w:right w:val="single" w:sz="4" w:space="0" w:color="auto"/>
            </w:tcBorders>
            <w:shd w:val="clear" w:color="auto" w:fill="auto"/>
            <w:noWrap/>
            <w:vAlign w:val="bottom"/>
          </w:tcPr>
          <w:p w14:paraId="5453F04D"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7.61%</w:t>
            </w:r>
          </w:p>
        </w:tc>
      </w:tr>
      <w:tr w:rsidR="006A4B07" w:rsidRPr="00E2202F" w14:paraId="0D7746CD" w14:textId="77777777" w:rsidTr="00BF1F34">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526765" w14:textId="77777777" w:rsidR="006A4B07" w:rsidRPr="00E2202F" w:rsidRDefault="006A4B07" w:rsidP="00E2202F">
            <w:pPr>
              <w:ind w:right="0"/>
              <w:jc w:val="left"/>
              <w:rPr>
                <w:color w:val="000000"/>
                <w:sz w:val="18"/>
                <w:szCs w:val="18"/>
                <w:lang w:val="es-CR" w:eastAsia="es-CR"/>
              </w:rPr>
            </w:pPr>
            <w:r w:rsidRPr="00E2202F">
              <w:rPr>
                <w:color w:val="000000"/>
                <w:sz w:val="18"/>
                <w:szCs w:val="18"/>
                <w:lang w:val="es-CR" w:eastAsia="es-CR"/>
              </w:rPr>
              <w:t>Tasa de interés neta</w:t>
            </w:r>
          </w:p>
        </w:tc>
        <w:tc>
          <w:tcPr>
            <w:tcW w:w="6106" w:type="dxa"/>
            <w:tcBorders>
              <w:top w:val="nil"/>
              <w:left w:val="nil"/>
              <w:bottom w:val="single" w:sz="4" w:space="0" w:color="auto"/>
              <w:right w:val="single" w:sz="4" w:space="0" w:color="auto"/>
            </w:tcBorders>
            <w:shd w:val="clear" w:color="auto" w:fill="auto"/>
            <w:noWrap/>
            <w:vAlign w:val="bottom"/>
          </w:tcPr>
          <w:p w14:paraId="6DA27BE1" w14:textId="77777777" w:rsidR="006A4B07" w:rsidRPr="00E2202F" w:rsidRDefault="006A4B07" w:rsidP="00E2202F">
            <w:pPr>
              <w:ind w:right="0"/>
              <w:jc w:val="center"/>
              <w:rPr>
                <w:color w:val="000000"/>
                <w:sz w:val="18"/>
                <w:szCs w:val="18"/>
                <w:lang w:val="es-CR" w:eastAsia="es-CR"/>
              </w:rPr>
            </w:pPr>
            <w:r w:rsidRPr="00E2202F">
              <w:rPr>
                <w:color w:val="000000"/>
                <w:sz w:val="18"/>
                <w:szCs w:val="18"/>
                <w:lang w:val="es-CR" w:eastAsia="es-CR"/>
              </w:rPr>
              <w:t>Tasa Bruta menos ISR</w:t>
            </w:r>
          </w:p>
        </w:tc>
      </w:tr>
      <w:tr w:rsidR="00E2202F" w:rsidRPr="00E2202F" w14:paraId="5C3BF31A"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E3D4DB"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Factor de cálculo</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466999BE"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30/360</w:t>
            </w:r>
          </w:p>
        </w:tc>
      </w:tr>
      <w:tr w:rsidR="00E2202F" w:rsidRPr="00E2202F" w14:paraId="565B6955"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2EA0790"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Periodicidad</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6730CDFE"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Cupón Trimestral</w:t>
            </w:r>
          </w:p>
        </w:tc>
      </w:tr>
      <w:tr w:rsidR="00E2202F" w:rsidRPr="00E2202F" w14:paraId="487AD06E"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E4CD7B"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Amortización del principal</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63AB94DD"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Al Vencimiento</w:t>
            </w:r>
          </w:p>
        </w:tc>
      </w:tr>
      <w:tr w:rsidR="00E2202F" w:rsidRPr="00E2202F" w14:paraId="2FB4CF2D" w14:textId="77777777" w:rsidTr="00E2202F">
        <w:trPr>
          <w:trHeight w:val="63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9AE640"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Forma de representación</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137FFA5F"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Anotación electrónica en cuenta</w:t>
            </w:r>
          </w:p>
        </w:tc>
      </w:tr>
      <w:tr w:rsidR="00E2202F" w:rsidRPr="00E2202F" w14:paraId="0040D13C"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7CC1D2" w14:textId="398DE6CA"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Ley de cir</w:t>
            </w:r>
            <w:r w:rsidR="008D28D6">
              <w:rPr>
                <w:color w:val="000000"/>
                <w:sz w:val="18"/>
                <w:szCs w:val="18"/>
                <w:lang w:val="es-CR" w:eastAsia="es-CR"/>
              </w:rPr>
              <w:t>c</w:t>
            </w:r>
            <w:r w:rsidRPr="00E2202F">
              <w:rPr>
                <w:color w:val="000000"/>
                <w:sz w:val="18"/>
                <w:szCs w:val="18"/>
                <w:lang w:val="es-CR" w:eastAsia="es-CR"/>
              </w:rPr>
              <w:t>ulación</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3B247247"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A la orden</w:t>
            </w:r>
          </w:p>
        </w:tc>
      </w:tr>
      <w:tr w:rsidR="00E2202F" w:rsidRPr="00E2202F" w14:paraId="34CCB386" w14:textId="77777777" w:rsidTr="00E2202F">
        <w:trPr>
          <w:trHeight w:val="30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51A78A31" w14:textId="77777777" w:rsidR="00E2202F" w:rsidRPr="00E2202F" w:rsidRDefault="00E2202F" w:rsidP="00E2202F">
            <w:pPr>
              <w:ind w:right="0"/>
              <w:jc w:val="left"/>
              <w:rPr>
                <w:color w:val="000000"/>
                <w:sz w:val="18"/>
                <w:szCs w:val="18"/>
                <w:lang w:val="es-CR" w:eastAsia="es-CR"/>
              </w:rPr>
            </w:pPr>
            <w:r w:rsidRPr="00E2202F">
              <w:rPr>
                <w:color w:val="000000"/>
                <w:sz w:val="18"/>
                <w:szCs w:val="18"/>
                <w:lang w:val="es-CR" w:eastAsia="es-CR"/>
              </w:rPr>
              <w:t>Forma de colocaciones realizadas</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14:paraId="236D57C4" w14:textId="77777777" w:rsidR="00E2202F" w:rsidRPr="00E2202F" w:rsidRDefault="00E2202F" w:rsidP="00E2202F">
            <w:pPr>
              <w:ind w:right="0"/>
              <w:jc w:val="center"/>
              <w:rPr>
                <w:color w:val="000000"/>
                <w:sz w:val="18"/>
                <w:szCs w:val="18"/>
                <w:lang w:val="es-CR" w:eastAsia="es-CR"/>
              </w:rPr>
            </w:pPr>
            <w:r w:rsidRPr="00E2202F">
              <w:rPr>
                <w:color w:val="000000"/>
                <w:sz w:val="18"/>
                <w:szCs w:val="18"/>
                <w:lang w:val="es-CR" w:eastAsia="es-CR"/>
              </w:rPr>
              <w:t>Subasta por Bolsa</w:t>
            </w:r>
          </w:p>
        </w:tc>
      </w:tr>
    </w:tbl>
    <w:p w14:paraId="2C0FF3CC" w14:textId="77777777" w:rsidR="00A65F5F" w:rsidRDefault="00A65F5F" w:rsidP="00A65F5F">
      <w:pPr>
        <w:ind w:right="-25"/>
        <w:rPr>
          <w:b/>
          <w:sz w:val="16"/>
        </w:rPr>
      </w:pPr>
    </w:p>
    <w:p w14:paraId="7B08A3F6" w14:textId="77777777" w:rsidR="00A65F5F" w:rsidRPr="00CB2DB5" w:rsidRDefault="00A65F5F" w:rsidP="00A65F5F">
      <w:pPr>
        <w:ind w:right="-25"/>
      </w:pPr>
      <w:r w:rsidRPr="001808C8">
        <w:rPr>
          <w:b/>
          <w:sz w:val="16"/>
        </w:rPr>
        <w:t>ISR: Impuesto sobre la Renta</w:t>
      </w:r>
    </w:p>
    <w:p w14:paraId="1586FFD1" w14:textId="77777777" w:rsidR="00A65F5F" w:rsidRDefault="00A65F5F" w:rsidP="00A65F5F">
      <w:pPr>
        <w:ind w:left="-567" w:right="-25"/>
      </w:pPr>
    </w:p>
    <w:p w14:paraId="7710BAAE" w14:textId="77777777" w:rsidR="00A65F5F" w:rsidRDefault="00A65F5F" w:rsidP="00A65F5F">
      <w:pPr>
        <w:ind w:left="-567" w:right="-25"/>
      </w:pPr>
      <w:r>
        <w:tab/>
      </w:r>
    </w:p>
    <w:p w14:paraId="57D6A988" w14:textId="77777777" w:rsidR="00A65F5F" w:rsidRDefault="00A65F5F" w:rsidP="00A65F5F">
      <w:pPr>
        <w:ind w:left="-567" w:right="-25"/>
      </w:pPr>
    </w:p>
    <w:p w14:paraId="2852C9DD" w14:textId="77777777" w:rsidR="004C53CD" w:rsidRDefault="004C53CD" w:rsidP="00A65F5F">
      <w:pPr>
        <w:ind w:left="-567" w:right="-25"/>
      </w:pPr>
    </w:p>
    <w:p w14:paraId="0B4B1177" w14:textId="77777777" w:rsidR="004C53CD" w:rsidRDefault="004C53CD" w:rsidP="00A65F5F">
      <w:pPr>
        <w:ind w:left="-567" w:right="-25"/>
      </w:pPr>
    </w:p>
    <w:p w14:paraId="60F4CA19" w14:textId="77777777" w:rsidR="004C53CD" w:rsidRDefault="004C53CD" w:rsidP="00A65F5F">
      <w:pPr>
        <w:ind w:left="-567" w:right="-25"/>
      </w:pPr>
    </w:p>
    <w:p w14:paraId="6132BE37" w14:textId="77777777" w:rsidR="00A65F5F" w:rsidRDefault="00A65F5F" w:rsidP="00A65F5F">
      <w:pPr>
        <w:ind w:left="-567" w:right="-25"/>
      </w:pPr>
    </w:p>
    <w:p w14:paraId="72B82ED3" w14:textId="77777777" w:rsidR="00A65F5F" w:rsidRDefault="00A65F5F" w:rsidP="00A65F5F">
      <w:pPr>
        <w:ind w:left="-567" w:right="-25"/>
      </w:pPr>
    </w:p>
    <w:p w14:paraId="1EE9559B" w14:textId="77777777" w:rsidR="00A65F5F" w:rsidRDefault="00A65F5F" w:rsidP="00A65F5F">
      <w:pPr>
        <w:ind w:left="-567" w:right="-25"/>
      </w:pPr>
    </w:p>
    <w:p w14:paraId="7885E602" w14:textId="77777777" w:rsidR="00A65F5F" w:rsidRDefault="00A65F5F" w:rsidP="00A65F5F">
      <w:pPr>
        <w:ind w:left="-567" w:right="-25"/>
      </w:pPr>
    </w:p>
    <w:p w14:paraId="43D5DE9A" w14:textId="77777777" w:rsidR="00A65F5F" w:rsidRDefault="00A65F5F" w:rsidP="00A65F5F">
      <w:pPr>
        <w:ind w:left="-567" w:right="-25"/>
      </w:pPr>
    </w:p>
    <w:p w14:paraId="7EC987CB" w14:textId="77777777" w:rsidR="00A65F5F" w:rsidRDefault="00A65F5F" w:rsidP="00A65F5F">
      <w:pPr>
        <w:ind w:left="-567" w:right="-25"/>
      </w:pPr>
    </w:p>
    <w:p w14:paraId="508E15DE" w14:textId="47127EB0" w:rsidR="00EE6324" w:rsidRDefault="00EE6324" w:rsidP="00A65F5F">
      <w:pPr>
        <w:ind w:right="0"/>
      </w:pPr>
    </w:p>
    <w:tbl>
      <w:tblPr>
        <w:tblW w:w="10123" w:type="dxa"/>
        <w:jc w:val="center"/>
        <w:tblCellMar>
          <w:left w:w="70" w:type="dxa"/>
          <w:right w:w="70" w:type="dxa"/>
        </w:tblCellMar>
        <w:tblLook w:val="04A0" w:firstRow="1" w:lastRow="0" w:firstColumn="1" w:lastColumn="0" w:noHBand="0" w:noVBand="1"/>
      </w:tblPr>
      <w:tblGrid>
        <w:gridCol w:w="1575"/>
        <w:gridCol w:w="2417"/>
        <w:gridCol w:w="2036"/>
        <w:gridCol w:w="1900"/>
        <w:gridCol w:w="2195"/>
      </w:tblGrid>
      <w:tr w:rsidR="00EE6324" w:rsidRPr="004504ED" w14:paraId="45AB3FD7" w14:textId="77777777" w:rsidTr="00EE6324">
        <w:trPr>
          <w:trHeight w:val="301"/>
          <w:jc w:val="center"/>
        </w:trPr>
        <w:tc>
          <w:tcPr>
            <w:tcW w:w="1575"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5C19612D" w14:textId="77777777" w:rsidR="00EE6324" w:rsidRPr="004504ED" w:rsidRDefault="00EE6324" w:rsidP="006D3704">
            <w:pPr>
              <w:ind w:right="0"/>
              <w:jc w:val="left"/>
              <w:rPr>
                <w:b/>
                <w:bCs/>
                <w:color w:val="FFFFFF"/>
                <w:sz w:val="18"/>
                <w:szCs w:val="18"/>
                <w:lang w:val="es-CR" w:eastAsia="es-CR"/>
              </w:rPr>
            </w:pPr>
            <w:r w:rsidRPr="004504ED">
              <w:rPr>
                <w:b/>
                <w:bCs/>
                <w:color w:val="FFFFFF"/>
                <w:sz w:val="18"/>
                <w:szCs w:val="18"/>
                <w:lang w:val="es-CR" w:eastAsia="es-CR"/>
              </w:rPr>
              <w:t>Clase de Instrumentos</w:t>
            </w:r>
          </w:p>
        </w:tc>
        <w:tc>
          <w:tcPr>
            <w:tcW w:w="8548" w:type="dxa"/>
            <w:gridSpan w:val="4"/>
            <w:tcBorders>
              <w:top w:val="single" w:sz="4" w:space="0" w:color="auto"/>
              <w:left w:val="nil"/>
              <w:bottom w:val="single" w:sz="4" w:space="0" w:color="auto"/>
              <w:right w:val="single" w:sz="4" w:space="0" w:color="auto"/>
            </w:tcBorders>
            <w:shd w:val="clear" w:color="000000" w:fill="203764"/>
            <w:noWrap/>
            <w:vAlign w:val="bottom"/>
            <w:hideMark/>
          </w:tcPr>
          <w:p w14:paraId="54B1D7A9" w14:textId="77777777" w:rsidR="00EE6324" w:rsidRPr="004504ED" w:rsidRDefault="00EE6324" w:rsidP="006D3704">
            <w:pPr>
              <w:ind w:right="0"/>
              <w:jc w:val="center"/>
              <w:rPr>
                <w:b/>
                <w:bCs/>
                <w:color w:val="FFFFFF"/>
                <w:sz w:val="18"/>
                <w:szCs w:val="18"/>
                <w:lang w:val="es-CR" w:eastAsia="es-CR"/>
              </w:rPr>
            </w:pPr>
            <w:r w:rsidRPr="004504ED">
              <w:rPr>
                <w:b/>
                <w:bCs/>
                <w:color w:val="FFFFFF"/>
                <w:sz w:val="18"/>
                <w:szCs w:val="18"/>
                <w:lang w:val="es-CR" w:eastAsia="es-CR"/>
              </w:rPr>
              <w:t>Bonos Estandarizados</w:t>
            </w:r>
          </w:p>
        </w:tc>
      </w:tr>
      <w:tr w:rsidR="00EE6324" w:rsidRPr="004504ED" w14:paraId="6B056E0F" w14:textId="77777777" w:rsidTr="00EE6324">
        <w:trPr>
          <w:trHeight w:val="337"/>
          <w:jc w:val="center"/>
        </w:trPr>
        <w:tc>
          <w:tcPr>
            <w:tcW w:w="1575" w:type="dxa"/>
            <w:tcBorders>
              <w:top w:val="nil"/>
              <w:left w:val="single" w:sz="4" w:space="0" w:color="auto"/>
              <w:bottom w:val="single" w:sz="4" w:space="0" w:color="auto"/>
              <w:right w:val="single" w:sz="4" w:space="0" w:color="auto"/>
            </w:tcBorders>
            <w:shd w:val="clear" w:color="000000" w:fill="203764"/>
            <w:noWrap/>
            <w:vAlign w:val="bottom"/>
            <w:hideMark/>
          </w:tcPr>
          <w:p w14:paraId="55BD05F4" w14:textId="77777777" w:rsidR="00EE6324" w:rsidRPr="004504ED" w:rsidRDefault="00EE6324" w:rsidP="006D3704">
            <w:pPr>
              <w:ind w:right="0"/>
              <w:jc w:val="left"/>
              <w:rPr>
                <w:b/>
                <w:bCs/>
                <w:color w:val="FFFFFF"/>
                <w:sz w:val="18"/>
                <w:szCs w:val="18"/>
                <w:lang w:val="es-CR" w:eastAsia="es-CR"/>
              </w:rPr>
            </w:pPr>
            <w:r w:rsidRPr="004504ED">
              <w:rPr>
                <w:b/>
                <w:bCs/>
                <w:color w:val="FFFFFF"/>
                <w:sz w:val="18"/>
                <w:szCs w:val="18"/>
                <w:lang w:val="es-CR" w:eastAsia="es-CR"/>
              </w:rPr>
              <w:t>Nombre del Programa</w:t>
            </w:r>
          </w:p>
        </w:tc>
        <w:tc>
          <w:tcPr>
            <w:tcW w:w="8548" w:type="dxa"/>
            <w:gridSpan w:val="4"/>
            <w:tcBorders>
              <w:top w:val="single" w:sz="4" w:space="0" w:color="auto"/>
              <w:left w:val="nil"/>
              <w:bottom w:val="single" w:sz="4" w:space="0" w:color="auto"/>
              <w:right w:val="single" w:sz="4" w:space="0" w:color="auto"/>
            </w:tcBorders>
            <w:shd w:val="clear" w:color="000000" w:fill="203764"/>
            <w:noWrap/>
            <w:vAlign w:val="bottom"/>
            <w:hideMark/>
          </w:tcPr>
          <w:p w14:paraId="4F9A3C3A" w14:textId="77777777" w:rsidR="00EE6324" w:rsidRPr="004504ED" w:rsidRDefault="00EE6324" w:rsidP="006D3704">
            <w:pPr>
              <w:ind w:right="0"/>
              <w:jc w:val="center"/>
              <w:rPr>
                <w:b/>
                <w:bCs/>
                <w:color w:val="FFFFFF"/>
                <w:sz w:val="18"/>
                <w:szCs w:val="18"/>
                <w:lang w:val="es-CR" w:eastAsia="es-CR"/>
              </w:rPr>
            </w:pPr>
            <w:r w:rsidRPr="004504ED">
              <w:rPr>
                <w:b/>
                <w:bCs/>
                <w:color w:val="FFFFFF"/>
                <w:sz w:val="18"/>
                <w:szCs w:val="18"/>
                <w:lang w:val="es-CR" w:eastAsia="es-CR"/>
              </w:rPr>
              <w:t>Programa G de Emisiones de Bonos Estandarizados</w:t>
            </w:r>
          </w:p>
        </w:tc>
      </w:tr>
      <w:tr w:rsidR="00EE6324" w:rsidRPr="004504ED" w14:paraId="2258A4AE" w14:textId="77777777" w:rsidTr="00EE6324">
        <w:trPr>
          <w:trHeight w:val="581"/>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A5C325B"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Monto total del programa y moneda</w:t>
            </w:r>
          </w:p>
        </w:tc>
        <w:tc>
          <w:tcPr>
            <w:tcW w:w="85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049F1B"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$350 000 000,00 (o su equivalente en colones)</w:t>
            </w:r>
          </w:p>
        </w:tc>
      </w:tr>
      <w:tr w:rsidR="00EE6324" w:rsidRPr="004504ED" w14:paraId="68BB024F" w14:textId="77777777" w:rsidTr="00A51CC3">
        <w:trPr>
          <w:trHeight w:val="241"/>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3DB260D5"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Series del Programa inscritas</w:t>
            </w:r>
          </w:p>
        </w:tc>
        <w:tc>
          <w:tcPr>
            <w:tcW w:w="2417" w:type="dxa"/>
            <w:tcBorders>
              <w:top w:val="nil"/>
              <w:left w:val="nil"/>
              <w:bottom w:val="single" w:sz="4" w:space="0" w:color="auto"/>
              <w:right w:val="single" w:sz="4" w:space="0" w:color="auto"/>
            </w:tcBorders>
            <w:shd w:val="clear" w:color="auto" w:fill="auto"/>
            <w:noWrap/>
            <w:vAlign w:val="center"/>
            <w:hideMark/>
          </w:tcPr>
          <w:p w14:paraId="7F399900"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G1</w:t>
            </w:r>
          </w:p>
        </w:tc>
        <w:tc>
          <w:tcPr>
            <w:tcW w:w="2036" w:type="dxa"/>
            <w:tcBorders>
              <w:top w:val="nil"/>
              <w:left w:val="nil"/>
              <w:bottom w:val="single" w:sz="4" w:space="0" w:color="auto"/>
              <w:right w:val="single" w:sz="4" w:space="0" w:color="auto"/>
            </w:tcBorders>
            <w:shd w:val="clear" w:color="auto" w:fill="auto"/>
            <w:noWrap/>
            <w:vAlign w:val="center"/>
            <w:hideMark/>
          </w:tcPr>
          <w:p w14:paraId="5FAF9C18"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G2</w:t>
            </w:r>
          </w:p>
        </w:tc>
        <w:tc>
          <w:tcPr>
            <w:tcW w:w="1899" w:type="dxa"/>
            <w:tcBorders>
              <w:top w:val="nil"/>
              <w:left w:val="nil"/>
              <w:bottom w:val="single" w:sz="4" w:space="0" w:color="auto"/>
              <w:right w:val="single" w:sz="4" w:space="0" w:color="auto"/>
            </w:tcBorders>
            <w:shd w:val="clear" w:color="auto" w:fill="auto"/>
            <w:noWrap/>
            <w:vAlign w:val="center"/>
            <w:hideMark/>
          </w:tcPr>
          <w:p w14:paraId="6F0431BD" w14:textId="3B5A71D4"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G3</w:t>
            </w:r>
            <w:r w:rsidR="00EA18C3">
              <w:rPr>
                <w:b/>
                <w:bCs/>
                <w:color w:val="000000"/>
                <w:sz w:val="18"/>
                <w:szCs w:val="18"/>
                <w:lang w:val="es-CR" w:eastAsia="es-CR"/>
              </w:rPr>
              <w:t>V</w:t>
            </w:r>
          </w:p>
        </w:tc>
        <w:tc>
          <w:tcPr>
            <w:tcW w:w="2194" w:type="dxa"/>
            <w:tcBorders>
              <w:top w:val="nil"/>
              <w:left w:val="nil"/>
              <w:bottom w:val="single" w:sz="4" w:space="0" w:color="auto"/>
              <w:right w:val="single" w:sz="4" w:space="0" w:color="auto"/>
            </w:tcBorders>
            <w:shd w:val="clear" w:color="auto" w:fill="auto"/>
            <w:noWrap/>
            <w:vAlign w:val="center"/>
          </w:tcPr>
          <w:p w14:paraId="0EF50484" w14:textId="0894BD23" w:rsidR="00EE6324" w:rsidRPr="004504ED" w:rsidRDefault="00EE6324" w:rsidP="006D3704">
            <w:pPr>
              <w:ind w:right="0"/>
              <w:jc w:val="center"/>
              <w:rPr>
                <w:b/>
                <w:bCs/>
                <w:color w:val="000000"/>
                <w:sz w:val="18"/>
                <w:szCs w:val="18"/>
                <w:lang w:val="es-CR" w:eastAsia="es-CR"/>
              </w:rPr>
            </w:pPr>
          </w:p>
        </w:tc>
      </w:tr>
      <w:tr w:rsidR="00EE6324" w:rsidRPr="004504ED" w14:paraId="7D30F0E8" w14:textId="77777777" w:rsidTr="00A51CC3">
        <w:trPr>
          <w:trHeight w:val="241"/>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6954800A" w14:textId="77777777" w:rsidR="00EE6324" w:rsidRPr="004504ED" w:rsidRDefault="00EE6324" w:rsidP="006D3704">
            <w:pPr>
              <w:ind w:right="0"/>
              <w:jc w:val="left"/>
              <w:rPr>
                <w:b/>
                <w:bCs/>
                <w:color w:val="000000"/>
                <w:sz w:val="18"/>
                <w:szCs w:val="18"/>
                <w:lang w:val="es-CR" w:eastAsia="es-CR"/>
              </w:rPr>
            </w:pPr>
            <w:r w:rsidRPr="004504ED">
              <w:rPr>
                <w:b/>
                <w:bCs/>
                <w:color w:val="000000"/>
                <w:sz w:val="18"/>
                <w:szCs w:val="18"/>
                <w:lang w:val="es-CR" w:eastAsia="es-CR"/>
              </w:rPr>
              <w:t>ISIN</w:t>
            </w:r>
          </w:p>
        </w:tc>
        <w:tc>
          <w:tcPr>
            <w:tcW w:w="2417" w:type="dxa"/>
            <w:tcBorders>
              <w:top w:val="nil"/>
              <w:left w:val="nil"/>
              <w:bottom w:val="single" w:sz="4" w:space="0" w:color="auto"/>
              <w:right w:val="single" w:sz="4" w:space="0" w:color="auto"/>
            </w:tcBorders>
            <w:shd w:val="clear" w:color="auto" w:fill="auto"/>
            <w:noWrap/>
            <w:vAlign w:val="center"/>
            <w:hideMark/>
          </w:tcPr>
          <w:p w14:paraId="69C0FCB0"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CRICE00B0259</w:t>
            </w:r>
          </w:p>
        </w:tc>
        <w:tc>
          <w:tcPr>
            <w:tcW w:w="2036" w:type="dxa"/>
            <w:tcBorders>
              <w:top w:val="nil"/>
              <w:left w:val="nil"/>
              <w:bottom w:val="single" w:sz="4" w:space="0" w:color="auto"/>
              <w:right w:val="single" w:sz="4" w:space="0" w:color="auto"/>
            </w:tcBorders>
            <w:shd w:val="clear" w:color="auto" w:fill="auto"/>
            <w:noWrap/>
            <w:vAlign w:val="center"/>
            <w:hideMark/>
          </w:tcPr>
          <w:p w14:paraId="2BAACBD9"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CRICE00B0234</w:t>
            </w:r>
          </w:p>
        </w:tc>
        <w:tc>
          <w:tcPr>
            <w:tcW w:w="1899" w:type="dxa"/>
            <w:tcBorders>
              <w:top w:val="nil"/>
              <w:left w:val="nil"/>
              <w:bottom w:val="single" w:sz="4" w:space="0" w:color="auto"/>
              <w:right w:val="single" w:sz="4" w:space="0" w:color="auto"/>
            </w:tcBorders>
            <w:shd w:val="clear" w:color="auto" w:fill="auto"/>
            <w:noWrap/>
            <w:vAlign w:val="center"/>
            <w:hideMark/>
          </w:tcPr>
          <w:p w14:paraId="525B0A7D"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CRICE00B0226</w:t>
            </w:r>
          </w:p>
        </w:tc>
        <w:tc>
          <w:tcPr>
            <w:tcW w:w="2194" w:type="dxa"/>
            <w:tcBorders>
              <w:top w:val="nil"/>
              <w:left w:val="nil"/>
              <w:bottom w:val="single" w:sz="4" w:space="0" w:color="auto"/>
              <w:right w:val="single" w:sz="4" w:space="0" w:color="auto"/>
            </w:tcBorders>
            <w:shd w:val="clear" w:color="auto" w:fill="auto"/>
            <w:noWrap/>
            <w:vAlign w:val="center"/>
          </w:tcPr>
          <w:p w14:paraId="09AE4244" w14:textId="4D288EFA" w:rsidR="00EE6324" w:rsidRPr="004504ED" w:rsidRDefault="00EE6324" w:rsidP="006D3704">
            <w:pPr>
              <w:ind w:right="0"/>
              <w:jc w:val="center"/>
              <w:rPr>
                <w:b/>
                <w:bCs/>
                <w:color w:val="000000"/>
                <w:sz w:val="18"/>
                <w:szCs w:val="18"/>
                <w:lang w:val="es-CR" w:eastAsia="es-CR"/>
              </w:rPr>
            </w:pPr>
          </w:p>
        </w:tc>
      </w:tr>
      <w:tr w:rsidR="00EE6324" w:rsidRPr="004504ED" w14:paraId="624AA139" w14:textId="77777777" w:rsidTr="00A51CC3">
        <w:trPr>
          <w:trHeight w:val="241"/>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5996FC0D" w14:textId="77777777" w:rsidR="00EE6324" w:rsidRPr="004504ED" w:rsidRDefault="00EE6324" w:rsidP="006D3704">
            <w:pPr>
              <w:ind w:right="0"/>
              <w:jc w:val="left"/>
              <w:rPr>
                <w:b/>
                <w:bCs/>
                <w:color w:val="000000"/>
                <w:sz w:val="18"/>
                <w:szCs w:val="18"/>
                <w:lang w:val="es-CR" w:eastAsia="es-CR"/>
              </w:rPr>
            </w:pPr>
            <w:r w:rsidRPr="004504ED">
              <w:rPr>
                <w:b/>
                <w:bCs/>
                <w:color w:val="000000"/>
                <w:sz w:val="18"/>
                <w:szCs w:val="18"/>
                <w:lang w:val="es-CR" w:eastAsia="es-CR"/>
              </w:rPr>
              <w:t>Nemotécnico (instrumento)</w:t>
            </w:r>
          </w:p>
        </w:tc>
        <w:tc>
          <w:tcPr>
            <w:tcW w:w="2417" w:type="dxa"/>
            <w:tcBorders>
              <w:top w:val="nil"/>
              <w:left w:val="nil"/>
              <w:bottom w:val="single" w:sz="4" w:space="0" w:color="auto"/>
              <w:right w:val="single" w:sz="4" w:space="0" w:color="auto"/>
            </w:tcBorders>
            <w:shd w:val="clear" w:color="auto" w:fill="auto"/>
            <w:noWrap/>
            <w:vAlign w:val="center"/>
            <w:hideMark/>
          </w:tcPr>
          <w:p w14:paraId="10505DA9"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bicg1</w:t>
            </w:r>
          </w:p>
        </w:tc>
        <w:tc>
          <w:tcPr>
            <w:tcW w:w="2036" w:type="dxa"/>
            <w:tcBorders>
              <w:top w:val="nil"/>
              <w:left w:val="nil"/>
              <w:bottom w:val="single" w:sz="4" w:space="0" w:color="auto"/>
              <w:right w:val="single" w:sz="4" w:space="0" w:color="auto"/>
            </w:tcBorders>
            <w:shd w:val="clear" w:color="auto" w:fill="auto"/>
            <w:noWrap/>
            <w:vAlign w:val="center"/>
            <w:hideMark/>
          </w:tcPr>
          <w:p w14:paraId="7625D530"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bicg2</w:t>
            </w:r>
          </w:p>
        </w:tc>
        <w:tc>
          <w:tcPr>
            <w:tcW w:w="1899" w:type="dxa"/>
            <w:tcBorders>
              <w:top w:val="nil"/>
              <w:left w:val="nil"/>
              <w:bottom w:val="single" w:sz="4" w:space="0" w:color="auto"/>
              <w:right w:val="single" w:sz="4" w:space="0" w:color="auto"/>
            </w:tcBorders>
            <w:shd w:val="clear" w:color="auto" w:fill="auto"/>
            <w:noWrap/>
            <w:vAlign w:val="center"/>
            <w:hideMark/>
          </w:tcPr>
          <w:p w14:paraId="24708681" w14:textId="77777777" w:rsidR="00EE6324" w:rsidRPr="004504ED" w:rsidRDefault="00EE6324" w:rsidP="006D3704">
            <w:pPr>
              <w:ind w:right="0"/>
              <w:jc w:val="center"/>
              <w:rPr>
                <w:b/>
                <w:bCs/>
                <w:color w:val="000000"/>
                <w:sz w:val="18"/>
                <w:szCs w:val="18"/>
                <w:lang w:val="es-CR" w:eastAsia="es-CR"/>
              </w:rPr>
            </w:pPr>
            <w:r w:rsidRPr="004504ED">
              <w:rPr>
                <w:b/>
                <w:bCs/>
                <w:color w:val="000000"/>
                <w:sz w:val="18"/>
                <w:szCs w:val="18"/>
                <w:lang w:val="es-CR" w:eastAsia="es-CR"/>
              </w:rPr>
              <w:t>bicg3</w:t>
            </w:r>
          </w:p>
        </w:tc>
        <w:tc>
          <w:tcPr>
            <w:tcW w:w="2194" w:type="dxa"/>
            <w:tcBorders>
              <w:top w:val="nil"/>
              <w:left w:val="nil"/>
              <w:bottom w:val="single" w:sz="4" w:space="0" w:color="auto"/>
              <w:right w:val="single" w:sz="4" w:space="0" w:color="auto"/>
            </w:tcBorders>
            <w:shd w:val="clear" w:color="auto" w:fill="auto"/>
            <w:noWrap/>
            <w:vAlign w:val="center"/>
          </w:tcPr>
          <w:p w14:paraId="0BE4C447" w14:textId="2801ED8E" w:rsidR="00EE6324" w:rsidRPr="004504ED" w:rsidRDefault="00EE6324" w:rsidP="006D3704">
            <w:pPr>
              <w:ind w:right="0"/>
              <w:jc w:val="center"/>
              <w:rPr>
                <w:b/>
                <w:bCs/>
                <w:color w:val="000000"/>
                <w:sz w:val="18"/>
                <w:szCs w:val="18"/>
                <w:lang w:val="es-CR" w:eastAsia="es-CR"/>
              </w:rPr>
            </w:pPr>
          </w:p>
        </w:tc>
      </w:tr>
      <w:tr w:rsidR="00EE6324" w:rsidRPr="004504ED" w14:paraId="0F4E17B1" w14:textId="77777777" w:rsidTr="00A51CC3">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417E1D8"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Plazo</w:t>
            </w:r>
          </w:p>
        </w:tc>
        <w:tc>
          <w:tcPr>
            <w:tcW w:w="2417" w:type="dxa"/>
            <w:tcBorders>
              <w:top w:val="nil"/>
              <w:left w:val="nil"/>
              <w:bottom w:val="single" w:sz="4" w:space="0" w:color="auto"/>
              <w:right w:val="single" w:sz="4" w:space="0" w:color="auto"/>
            </w:tcBorders>
            <w:shd w:val="clear" w:color="auto" w:fill="auto"/>
            <w:noWrap/>
            <w:vAlign w:val="bottom"/>
            <w:hideMark/>
          </w:tcPr>
          <w:p w14:paraId="03400905"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3 años</w:t>
            </w:r>
          </w:p>
        </w:tc>
        <w:tc>
          <w:tcPr>
            <w:tcW w:w="2036" w:type="dxa"/>
            <w:tcBorders>
              <w:top w:val="nil"/>
              <w:left w:val="nil"/>
              <w:bottom w:val="single" w:sz="4" w:space="0" w:color="auto"/>
              <w:right w:val="single" w:sz="4" w:space="0" w:color="auto"/>
            </w:tcBorders>
            <w:shd w:val="clear" w:color="auto" w:fill="auto"/>
            <w:noWrap/>
            <w:vAlign w:val="bottom"/>
            <w:hideMark/>
          </w:tcPr>
          <w:p w14:paraId="4AA6A75C"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5 años</w:t>
            </w:r>
          </w:p>
        </w:tc>
        <w:tc>
          <w:tcPr>
            <w:tcW w:w="1899" w:type="dxa"/>
            <w:tcBorders>
              <w:top w:val="nil"/>
              <w:left w:val="nil"/>
              <w:bottom w:val="single" w:sz="4" w:space="0" w:color="auto"/>
              <w:right w:val="single" w:sz="4" w:space="0" w:color="auto"/>
            </w:tcBorders>
            <w:shd w:val="clear" w:color="auto" w:fill="auto"/>
            <w:noWrap/>
            <w:vAlign w:val="bottom"/>
            <w:hideMark/>
          </w:tcPr>
          <w:p w14:paraId="766F4425" w14:textId="134F426E" w:rsidR="00EE6324" w:rsidRPr="004504ED" w:rsidRDefault="008D28D6" w:rsidP="006D3704">
            <w:pPr>
              <w:ind w:right="0"/>
              <w:jc w:val="center"/>
              <w:rPr>
                <w:color w:val="000000"/>
                <w:sz w:val="18"/>
                <w:szCs w:val="18"/>
                <w:lang w:val="es-CR" w:eastAsia="es-CR"/>
              </w:rPr>
            </w:pPr>
            <w:r>
              <w:rPr>
                <w:color w:val="000000"/>
                <w:sz w:val="18"/>
                <w:szCs w:val="18"/>
                <w:lang w:val="es-CR" w:eastAsia="es-CR"/>
              </w:rPr>
              <w:t>8</w:t>
            </w:r>
            <w:r w:rsidR="00EE6324" w:rsidRPr="004504ED">
              <w:rPr>
                <w:color w:val="000000"/>
                <w:sz w:val="18"/>
                <w:szCs w:val="18"/>
                <w:lang w:val="es-CR" w:eastAsia="es-CR"/>
              </w:rPr>
              <w:t xml:space="preserve"> años</w:t>
            </w:r>
          </w:p>
        </w:tc>
        <w:tc>
          <w:tcPr>
            <w:tcW w:w="2194" w:type="dxa"/>
            <w:tcBorders>
              <w:top w:val="nil"/>
              <w:left w:val="nil"/>
              <w:bottom w:val="single" w:sz="4" w:space="0" w:color="auto"/>
              <w:right w:val="single" w:sz="4" w:space="0" w:color="auto"/>
            </w:tcBorders>
            <w:shd w:val="clear" w:color="auto" w:fill="auto"/>
            <w:noWrap/>
            <w:vAlign w:val="bottom"/>
          </w:tcPr>
          <w:p w14:paraId="25963A7A" w14:textId="6D03272A" w:rsidR="00EE6324" w:rsidRPr="004504ED" w:rsidRDefault="00EE6324" w:rsidP="006D3704">
            <w:pPr>
              <w:ind w:right="0"/>
              <w:jc w:val="center"/>
              <w:rPr>
                <w:color w:val="000000"/>
                <w:sz w:val="18"/>
                <w:szCs w:val="18"/>
                <w:lang w:val="es-CR" w:eastAsia="es-CR"/>
              </w:rPr>
            </w:pPr>
          </w:p>
        </w:tc>
      </w:tr>
      <w:tr w:rsidR="00EE6324" w:rsidRPr="004504ED" w14:paraId="4757358E" w14:textId="77777777" w:rsidTr="00A51CC3">
        <w:trPr>
          <w:trHeight w:val="252"/>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1EF8BB6"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Monto de cada emisión</w:t>
            </w:r>
          </w:p>
        </w:tc>
        <w:tc>
          <w:tcPr>
            <w:tcW w:w="2417" w:type="dxa"/>
            <w:tcBorders>
              <w:top w:val="nil"/>
              <w:left w:val="nil"/>
              <w:bottom w:val="single" w:sz="4" w:space="0" w:color="auto"/>
              <w:right w:val="single" w:sz="4" w:space="0" w:color="auto"/>
            </w:tcBorders>
            <w:shd w:val="clear" w:color="auto" w:fill="auto"/>
            <w:vAlign w:val="bottom"/>
            <w:hideMark/>
          </w:tcPr>
          <w:p w14:paraId="1DCF979E" w14:textId="77777777" w:rsidR="00EE6324" w:rsidRPr="004504ED" w:rsidRDefault="00EE6324" w:rsidP="006D3704">
            <w:pPr>
              <w:ind w:right="0"/>
              <w:jc w:val="center"/>
              <w:rPr>
                <w:sz w:val="18"/>
                <w:szCs w:val="18"/>
                <w:lang w:val="es-CR" w:eastAsia="es-CR"/>
              </w:rPr>
            </w:pPr>
            <w:r w:rsidRPr="004504ED">
              <w:rPr>
                <w:sz w:val="18"/>
                <w:szCs w:val="18"/>
                <w:lang w:val="es-CR" w:eastAsia="es-CR"/>
              </w:rPr>
              <w:t>₡50,000,000,000.00</w:t>
            </w:r>
          </w:p>
        </w:tc>
        <w:tc>
          <w:tcPr>
            <w:tcW w:w="2036" w:type="dxa"/>
            <w:tcBorders>
              <w:top w:val="nil"/>
              <w:left w:val="nil"/>
              <w:bottom w:val="single" w:sz="4" w:space="0" w:color="auto"/>
              <w:right w:val="single" w:sz="4" w:space="0" w:color="auto"/>
            </w:tcBorders>
            <w:shd w:val="clear" w:color="auto" w:fill="auto"/>
            <w:vAlign w:val="bottom"/>
            <w:hideMark/>
          </w:tcPr>
          <w:p w14:paraId="3FF83B5A" w14:textId="77777777" w:rsidR="00EE6324" w:rsidRPr="004504ED" w:rsidRDefault="00EE6324" w:rsidP="006D3704">
            <w:pPr>
              <w:ind w:right="0"/>
              <w:jc w:val="center"/>
              <w:rPr>
                <w:sz w:val="18"/>
                <w:szCs w:val="18"/>
                <w:lang w:val="es-CR" w:eastAsia="es-CR"/>
              </w:rPr>
            </w:pPr>
            <w:r w:rsidRPr="004504ED">
              <w:rPr>
                <w:sz w:val="18"/>
                <w:szCs w:val="18"/>
                <w:lang w:val="es-CR" w:eastAsia="es-CR"/>
              </w:rPr>
              <w:t>₡50,000,000,000.00</w:t>
            </w:r>
          </w:p>
        </w:tc>
        <w:tc>
          <w:tcPr>
            <w:tcW w:w="1899" w:type="dxa"/>
            <w:tcBorders>
              <w:top w:val="nil"/>
              <w:left w:val="nil"/>
              <w:bottom w:val="single" w:sz="4" w:space="0" w:color="auto"/>
              <w:right w:val="single" w:sz="4" w:space="0" w:color="auto"/>
            </w:tcBorders>
            <w:shd w:val="clear" w:color="auto" w:fill="auto"/>
            <w:vAlign w:val="bottom"/>
            <w:hideMark/>
          </w:tcPr>
          <w:p w14:paraId="3109B2F4" w14:textId="08759F64" w:rsidR="00EE6324" w:rsidRPr="004504ED" w:rsidRDefault="00EE6324" w:rsidP="002817B6">
            <w:pPr>
              <w:ind w:right="0"/>
              <w:jc w:val="center"/>
              <w:rPr>
                <w:color w:val="000000"/>
                <w:sz w:val="18"/>
                <w:szCs w:val="18"/>
                <w:lang w:val="es-CR" w:eastAsia="es-CR"/>
              </w:rPr>
            </w:pPr>
            <w:r w:rsidRPr="004504ED">
              <w:rPr>
                <w:color w:val="000000"/>
                <w:sz w:val="18"/>
                <w:szCs w:val="18"/>
                <w:lang w:val="es-CR" w:eastAsia="es-CR"/>
              </w:rPr>
              <w:t>₡</w:t>
            </w:r>
            <w:r w:rsidR="002817B6">
              <w:rPr>
                <w:color w:val="000000"/>
                <w:sz w:val="18"/>
                <w:szCs w:val="18"/>
                <w:lang w:val="es-CR" w:eastAsia="es-CR"/>
              </w:rPr>
              <w:t>3</w:t>
            </w:r>
            <w:r w:rsidRPr="004504ED">
              <w:rPr>
                <w:color w:val="000000"/>
                <w:sz w:val="18"/>
                <w:szCs w:val="18"/>
                <w:lang w:val="es-CR" w:eastAsia="es-CR"/>
              </w:rPr>
              <w:t>0,000,000,000.00</w:t>
            </w:r>
          </w:p>
        </w:tc>
        <w:tc>
          <w:tcPr>
            <w:tcW w:w="2194" w:type="dxa"/>
            <w:tcBorders>
              <w:top w:val="nil"/>
              <w:left w:val="nil"/>
              <w:bottom w:val="single" w:sz="4" w:space="0" w:color="auto"/>
              <w:right w:val="single" w:sz="4" w:space="0" w:color="auto"/>
            </w:tcBorders>
            <w:shd w:val="clear" w:color="auto" w:fill="auto"/>
            <w:vAlign w:val="bottom"/>
          </w:tcPr>
          <w:p w14:paraId="5C230A83" w14:textId="2D027A82" w:rsidR="00EE6324" w:rsidRPr="004504ED" w:rsidRDefault="00EE6324" w:rsidP="002817B6">
            <w:pPr>
              <w:ind w:right="0"/>
              <w:jc w:val="center"/>
              <w:rPr>
                <w:color w:val="000000"/>
                <w:sz w:val="18"/>
                <w:szCs w:val="18"/>
                <w:lang w:val="es-CR" w:eastAsia="es-CR"/>
              </w:rPr>
            </w:pPr>
          </w:p>
        </w:tc>
      </w:tr>
      <w:tr w:rsidR="00EE6324" w:rsidRPr="004504ED" w14:paraId="1F10B3F8" w14:textId="77777777" w:rsidTr="00A51CC3">
        <w:trPr>
          <w:trHeight w:val="277"/>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7AE6CFD"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Fecha de emisión</w:t>
            </w:r>
          </w:p>
        </w:tc>
        <w:tc>
          <w:tcPr>
            <w:tcW w:w="2417" w:type="dxa"/>
            <w:tcBorders>
              <w:top w:val="nil"/>
              <w:left w:val="nil"/>
              <w:bottom w:val="single" w:sz="4" w:space="0" w:color="auto"/>
              <w:right w:val="single" w:sz="4" w:space="0" w:color="auto"/>
            </w:tcBorders>
            <w:shd w:val="clear" w:color="auto" w:fill="auto"/>
            <w:noWrap/>
            <w:vAlign w:val="bottom"/>
            <w:hideMark/>
          </w:tcPr>
          <w:p w14:paraId="79980F08"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21/10/2020</w:t>
            </w:r>
          </w:p>
        </w:tc>
        <w:tc>
          <w:tcPr>
            <w:tcW w:w="2036" w:type="dxa"/>
            <w:tcBorders>
              <w:top w:val="nil"/>
              <w:left w:val="nil"/>
              <w:bottom w:val="single" w:sz="4" w:space="0" w:color="auto"/>
              <w:right w:val="single" w:sz="4" w:space="0" w:color="auto"/>
            </w:tcBorders>
            <w:shd w:val="clear" w:color="auto" w:fill="auto"/>
            <w:noWrap/>
            <w:vAlign w:val="bottom"/>
            <w:hideMark/>
          </w:tcPr>
          <w:p w14:paraId="5985A01D" w14:textId="77777777" w:rsidR="00EE6324" w:rsidRPr="004504ED" w:rsidRDefault="00EE6324" w:rsidP="006D3704">
            <w:pPr>
              <w:ind w:right="0"/>
              <w:jc w:val="center"/>
              <w:rPr>
                <w:bCs/>
                <w:color w:val="000000"/>
                <w:sz w:val="18"/>
                <w:szCs w:val="18"/>
                <w:lang w:val="es-CR" w:eastAsia="es-CR"/>
              </w:rPr>
            </w:pPr>
            <w:r w:rsidRPr="004504ED">
              <w:rPr>
                <w:bCs/>
                <w:color w:val="000000"/>
                <w:sz w:val="18"/>
                <w:szCs w:val="18"/>
                <w:lang w:val="es-CR" w:eastAsia="es-CR"/>
              </w:rPr>
              <w:t>27/05/2020</w:t>
            </w:r>
          </w:p>
        </w:tc>
        <w:tc>
          <w:tcPr>
            <w:tcW w:w="1899" w:type="dxa"/>
            <w:tcBorders>
              <w:top w:val="nil"/>
              <w:left w:val="nil"/>
              <w:bottom w:val="single" w:sz="4" w:space="0" w:color="auto"/>
              <w:right w:val="single" w:sz="4" w:space="0" w:color="auto"/>
            </w:tcBorders>
            <w:shd w:val="clear" w:color="auto" w:fill="auto"/>
            <w:noWrap/>
            <w:vAlign w:val="bottom"/>
            <w:hideMark/>
          </w:tcPr>
          <w:p w14:paraId="765C5C43"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24/08/2020</w:t>
            </w:r>
          </w:p>
        </w:tc>
        <w:tc>
          <w:tcPr>
            <w:tcW w:w="2194" w:type="dxa"/>
            <w:tcBorders>
              <w:top w:val="nil"/>
              <w:left w:val="nil"/>
              <w:bottom w:val="single" w:sz="4" w:space="0" w:color="auto"/>
              <w:right w:val="single" w:sz="4" w:space="0" w:color="auto"/>
            </w:tcBorders>
            <w:shd w:val="clear" w:color="auto" w:fill="auto"/>
            <w:noWrap/>
            <w:vAlign w:val="bottom"/>
          </w:tcPr>
          <w:p w14:paraId="504C6D7A" w14:textId="532297A1" w:rsidR="00EE6324" w:rsidRPr="004504ED" w:rsidRDefault="00EE6324" w:rsidP="006D3704">
            <w:pPr>
              <w:ind w:right="0"/>
              <w:jc w:val="center"/>
              <w:rPr>
                <w:color w:val="000000"/>
                <w:sz w:val="18"/>
                <w:szCs w:val="18"/>
                <w:lang w:val="es-CR" w:eastAsia="es-CR"/>
              </w:rPr>
            </w:pPr>
          </w:p>
        </w:tc>
      </w:tr>
      <w:tr w:rsidR="00EE6324" w:rsidRPr="004504ED" w14:paraId="0D0E704C" w14:textId="77777777" w:rsidTr="00A51CC3">
        <w:trPr>
          <w:trHeight w:val="264"/>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ED4F1FB"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Fecha de vencimiento</w:t>
            </w:r>
          </w:p>
        </w:tc>
        <w:tc>
          <w:tcPr>
            <w:tcW w:w="2417" w:type="dxa"/>
            <w:tcBorders>
              <w:top w:val="nil"/>
              <w:left w:val="nil"/>
              <w:bottom w:val="single" w:sz="4" w:space="0" w:color="auto"/>
              <w:right w:val="single" w:sz="4" w:space="0" w:color="auto"/>
            </w:tcBorders>
            <w:shd w:val="clear" w:color="auto" w:fill="auto"/>
            <w:noWrap/>
            <w:vAlign w:val="bottom"/>
            <w:hideMark/>
          </w:tcPr>
          <w:p w14:paraId="2A540F90"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21/10/2023</w:t>
            </w:r>
          </w:p>
        </w:tc>
        <w:tc>
          <w:tcPr>
            <w:tcW w:w="2036" w:type="dxa"/>
            <w:tcBorders>
              <w:top w:val="nil"/>
              <w:left w:val="nil"/>
              <w:bottom w:val="single" w:sz="4" w:space="0" w:color="auto"/>
              <w:right w:val="single" w:sz="4" w:space="0" w:color="auto"/>
            </w:tcBorders>
            <w:shd w:val="clear" w:color="auto" w:fill="auto"/>
            <w:noWrap/>
            <w:vAlign w:val="bottom"/>
            <w:hideMark/>
          </w:tcPr>
          <w:p w14:paraId="75E5D7EF"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27/05/2025</w:t>
            </w:r>
          </w:p>
        </w:tc>
        <w:tc>
          <w:tcPr>
            <w:tcW w:w="1899" w:type="dxa"/>
            <w:tcBorders>
              <w:top w:val="nil"/>
              <w:left w:val="nil"/>
              <w:bottom w:val="single" w:sz="4" w:space="0" w:color="auto"/>
              <w:right w:val="single" w:sz="4" w:space="0" w:color="auto"/>
            </w:tcBorders>
            <w:shd w:val="clear" w:color="auto" w:fill="auto"/>
            <w:noWrap/>
            <w:vAlign w:val="bottom"/>
            <w:hideMark/>
          </w:tcPr>
          <w:p w14:paraId="0D99D6C0" w14:textId="29BDB3DB" w:rsidR="00EE6324" w:rsidRPr="004504ED" w:rsidRDefault="00EE6324" w:rsidP="002817B6">
            <w:pPr>
              <w:ind w:right="0"/>
              <w:jc w:val="center"/>
              <w:rPr>
                <w:color w:val="000000"/>
                <w:sz w:val="18"/>
                <w:szCs w:val="18"/>
                <w:lang w:val="es-CR" w:eastAsia="es-CR"/>
              </w:rPr>
            </w:pPr>
            <w:r w:rsidRPr="004504ED">
              <w:rPr>
                <w:color w:val="000000"/>
                <w:sz w:val="18"/>
                <w:szCs w:val="18"/>
                <w:lang w:val="es-CR" w:eastAsia="es-CR"/>
              </w:rPr>
              <w:t>24/08/20</w:t>
            </w:r>
            <w:r w:rsidR="002817B6">
              <w:rPr>
                <w:color w:val="000000"/>
                <w:sz w:val="18"/>
                <w:szCs w:val="18"/>
                <w:lang w:val="es-CR" w:eastAsia="es-CR"/>
              </w:rPr>
              <w:t>28</w:t>
            </w:r>
          </w:p>
        </w:tc>
        <w:tc>
          <w:tcPr>
            <w:tcW w:w="2194" w:type="dxa"/>
            <w:tcBorders>
              <w:top w:val="nil"/>
              <w:left w:val="nil"/>
              <w:bottom w:val="single" w:sz="4" w:space="0" w:color="auto"/>
              <w:right w:val="single" w:sz="4" w:space="0" w:color="auto"/>
            </w:tcBorders>
            <w:shd w:val="clear" w:color="auto" w:fill="auto"/>
            <w:noWrap/>
            <w:vAlign w:val="bottom"/>
          </w:tcPr>
          <w:p w14:paraId="61D03F04" w14:textId="711FE37C" w:rsidR="00EE6324" w:rsidRPr="004504ED" w:rsidRDefault="00EE6324" w:rsidP="006D3704">
            <w:pPr>
              <w:ind w:right="0"/>
              <w:jc w:val="center"/>
              <w:rPr>
                <w:color w:val="000000"/>
                <w:sz w:val="18"/>
                <w:szCs w:val="18"/>
                <w:lang w:val="es-CR" w:eastAsia="es-CR"/>
              </w:rPr>
            </w:pPr>
          </w:p>
        </w:tc>
      </w:tr>
      <w:tr w:rsidR="00EE6324" w:rsidRPr="004504ED" w14:paraId="00A4DC0D" w14:textId="77777777" w:rsidTr="00A51CC3">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DF6C00A"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Denominación o valor facial</w:t>
            </w:r>
          </w:p>
        </w:tc>
        <w:tc>
          <w:tcPr>
            <w:tcW w:w="635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3234D1"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₡1,000,000</w:t>
            </w:r>
          </w:p>
        </w:tc>
        <w:tc>
          <w:tcPr>
            <w:tcW w:w="2194" w:type="dxa"/>
            <w:tcBorders>
              <w:top w:val="nil"/>
              <w:left w:val="nil"/>
              <w:bottom w:val="single" w:sz="4" w:space="0" w:color="auto"/>
              <w:right w:val="single" w:sz="4" w:space="0" w:color="auto"/>
            </w:tcBorders>
            <w:shd w:val="clear" w:color="auto" w:fill="auto"/>
            <w:vAlign w:val="bottom"/>
          </w:tcPr>
          <w:p w14:paraId="6721396C" w14:textId="6F6710BE" w:rsidR="00EE6324" w:rsidRPr="004504ED" w:rsidRDefault="00EE6324" w:rsidP="006D3704">
            <w:pPr>
              <w:ind w:right="0"/>
              <w:jc w:val="center"/>
              <w:rPr>
                <w:color w:val="000000"/>
                <w:sz w:val="18"/>
                <w:szCs w:val="18"/>
                <w:lang w:val="es-CR" w:eastAsia="es-CR"/>
              </w:rPr>
            </w:pPr>
          </w:p>
        </w:tc>
      </w:tr>
      <w:tr w:rsidR="00EE6324" w:rsidRPr="004504ED" w14:paraId="31869ECD" w14:textId="77777777" w:rsidTr="00A51CC3">
        <w:trPr>
          <w:trHeight w:val="37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F9A7CD8"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Tasa de interés bruta</w:t>
            </w:r>
          </w:p>
        </w:tc>
        <w:tc>
          <w:tcPr>
            <w:tcW w:w="2417" w:type="dxa"/>
            <w:tcBorders>
              <w:top w:val="nil"/>
              <w:left w:val="nil"/>
              <w:bottom w:val="single" w:sz="4" w:space="0" w:color="auto"/>
              <w:right w:val="single" w:sz="4" w:space="0" w:color="auto"/>
            </w:tcBorders>
            <w:shd w:val="clear" w:color="auto" w:fill="auto"/>
            <w:noWrap/>
            <w:vAlign w:val="center"/>
            <w:hideMark/>
          </w:tcPr>
          <w:p w14:paraId="74B4450E"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7.56%</w:t>
            </w:r>
          </w:p>
        </w:tc>
        <w:tc>
          <w:tcPr>
            <w:tcW w:w="2036" w:type="dxa"/>
            <w:tcBorders>
              <w:top w:val="nil"/>
              <w:left w:val="nil"/>
              <w:bottom w:val="single" w:sz="4" w:space="0" w:color="auto"/>
              <w:right w:val="single" w:sz="4" w:space="0" w:color="auto"/>
            </w:tcBorders>
            <w:shd w:val="clear" w:color="auto" w:fill="auto"/>
            <w:noWrap/>
            <w:vAlign w:val="center"/>
            <w:hideMark/>
          </w:tcPr>
          <w:p w14:paraId="42CA268B"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8.63%</w:t>
            </w:r>
          </w:p>
        </w:tc>
        <w:tc>
          <w:tcPr>
            <w:tcW w:w="1899" w:type="dxa"/>
            <w:tcBorders>
              <w:top w:val="nil"/>
              <w:left w:val="nil"/>
              <w:bottom w:val="single" w:sz="4" w:space="0" w:color="auto"/>
              <w:right w:val="single" w:sz="4" w:space="0" w:color="auto"/>
            </w:tcBorders>
            <w:shd w:val="clear" w:color="auto" w:fill="auto"/>
            <w:noWrap/>
            <w:vAlign w:val="center"/>
            <w:hideMark/>
          </w:tcPr>
          <w:p w14:paraId="60357118" w14:textId="6DA9B40B" w:rsidR="00EE6324" w:rsidRPr="004504ED" w:rsidRDefault="002817B6" w:rsidP="006D3704">
            <w:pPr>
              <w:ind w:right="0"/>
              <w:jc w:val="center"/>
              <w:rPr>
                <w:color w:val="000000"/>
                <w:sz w:val="18"/>
                <w:szCs w:val="18"/>
                <w:lang w:val="es-CR" w:eastAsia="es-CR"/>
              </w:rPr>
            </w:pPr>
            <w:r>
              <w:rPr>
                <w:color w:val="000000"/>
                <w:sz w:val="18"/>
                <w:szCs w:val="18"/>
                <w:lang w:val="es-CR" w:eastAsia="es-CR"/>
              </w:rPr>
              <w:t>7.33%</w:t>
            </w:r>
          </w:p>
        </w:tc>
        <w:tc>
          <w:tcPr>
            <w:tcW w:w="2194" w:type="dxa"/>
            <w:tcBorders>
              <w:top w:val="nil"/>
              <w:left w:val="nil"/>
              <w:bottom w:val="single" w:sz="4" w:space="0" w:color="auto"/>
              <w:right w:val="single" w:sz="4" w:space="0" w:color="auto"/>
            </w:tcBorders>
            <w:shd w:val="clear" w:color="auto" w:fill="auto"/>
            <w:noWrap/>
            <w:vAlign w:val="center"/>
          </w:tcPr>
          <w:p w14:paraId="7D40944F" w14:textId="5FFA3D3C" w:rsidR="00EE6324" w:rsidRPr="004504ED" w:rsidRDefault="00EE6324" w:rsidP="006D3704">
            <w:pPr>
              <w:ind w:right="0"/>
              <w:jc w:val="center"/>
              <w:rPr>
                <w:color w:val="000000"/>
                <w:sz w:val="18"/>
                <w:szCs w:val="18"/>
                <w:lang w:val="es-CR" w:eastAsia="es-CR"/>
              </w:rPr>
            </w:pPr>
          </w:p>
        </w:tc>
      </w:tr>
      <w:tr w:rsidR="00EE6324" w:rsidRPr="004504ED" w14:paraId="10FE6E8D"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486DAF1"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Tasa de interés neta</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48A196F"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Tasa Bruta menos el Impuesto sobre la Renta aplicable</w:t>
            </w:r>
          </w:p>
        </w:tc>
      </w:tr>
      <w:tr w:rsidR="00EE6324" w:rsidRPr="004504ED" w14:paraId="367423BE"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BE3C5AF"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Factor de cálculo</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236F5D"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30/360</w:t>
            </w:r>
          </w:p>
        </w:tc>
      </w:tr>
      <w:tr w:rsidR="00EE6324" w:rsidRPr="004504ED" w14:paraId="6E008DFC"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08C0B83"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Periodicidad</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A2721D"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Cupón Semestral</w:t>
            </w:r>
          </w:p>
        </w:tc>
      </w:tr>
      <w:tr w:rsidR="00EE6324" w:rsidRPr="004504ED" w14:paraId="6044E249"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653F961"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Amortización del principal</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92C963" w14:textId="77777777" w:rsidR="00EE6324" w:rsidRPr="004504ED" w:rsidRDefault="00EE6324" w:rsidP="006D3704">
            <w:pPr>
              <w:ind w:right="0"/>
              <w:jc w:val="center"/>
              <w:rPr>
                <w:color w:val="000000"/>
                <w:sz w:val="18"/>
                <w:szCs w:val="18"/>
                <w:lang w:val="es-CR" w:eastAsia="es-CR"/>
              </w:rPr>
            </w:pPr>
            <w:r w:rsidRPr="004504ED">
              <w:rPr>
                <w:color w:val="000000"/>
                <w:sz w:val="18"/>
                <w:szCs w:val="18"/>
                <w:lang w:val="es-CR" w:eastAsia="es-CR"/>
              </w:rPr>
              <w:t>Al Vencimiento</w:t>
            </w:r>
          </w:p>
        </w:tc>
      </w:tr>
      <w:tr w:rsidR="000A4EF6" w:rsidRPr="004504ED" w14:paraId="1837A7A7"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32048FF2" w14:textId="423AF086" w:rsidR="000A4EF6" w:rsidRPr="004504ED" w:rsidRDefault="000A4EF6" w:rsidP="006D3704">
            <w:pPr>
              <w:ind w:right="0"/>
              <w:jc w:val="left"/>
              <w:rPr>
                <w:color w:val="000000"/>
                <w:sz w:val="18"/>
                <w:szCs w:val="18"/>
                <w:lang w:val="es-CR" w:eastAsia="es-CR"/>
              </w:rPr>
            </w:pPr>
            <w:r w:rsidRPr="00E2202F">
              <w:rPr>
                <w:color w:val="000000"/>
                <w:sz w:val="18"/>
                <w:szCs w:val="18"/>
                <w:lang w:val="es-CR" w:eastAsia="es-CR"/>
              </w:rPr>
              <w:t>Forma de representación</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tcPr>
          <w:p w14:paraId="741301C4" w14:textId="3AF92D2C" w:rsidR="000A4EF6" w:rsidRPr="004504ED" w:rsidRDefault="000A4EF6" w:rsidP="006D3704">
            <w:pPr>
              <w:ind w:right="0"/>
              <w:jc w:val="center"/>
              <w:rPr>
                <w:color w:val="000000"/>
                <w:sz w:val="18"/>
                <w:szCs w:val="18"/>
                <w:lang w:val="es-CR" w:eastAsia="es-CR"/>
              </w:rPr>
            </w:pPr>
            <w:r w:rsidRPr="00E2202F">
              <w:rPr>
                <w:color w:val="000000"/>
                <w:sz w:val="18"/>
                <w:szCs w:val="18"/>
                <w:lang w:val="es-CR" w:eastAsia="es-CR"/>
              </w:rPr>
              <w:t>Anotación electrónica en cuenta</w:t>
            </w:r>
          </w:p>
        </w:tc>
      </w:tr>
      <w:tr w:rsidR="00EE6324" w:rsidRPr="004504ED" w14:paraId="410EB27C" w14:textId="77777777" w:rsidTr="00EE6324">
        <w:trPr>
          <w:trHeight w:val="241"/>
          <w:jc w:val="center"/>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4DA9E628" w14:textId="77777777" w:rsidR="00EE6324" w:rsidRPr="004504ED" w:rsidRDefault="00EE6324" w:rsidP="006D3704">
            <w:pPr>
              <w:ind w:right="0"/>
              <w:jc w:val="left"/>
              <w:rPr>
                <w:color w:val="000000"/>
                <w:sz w:val="18"/>
                <w:szCs w:val="18"/>
                <w:lang w:val="es-CR" w:eastAsia="es-CR"/>
              </w:rPr>
            </w:pPr>
            <w:r w:rsidRPr="004504ED">
              <w:rPr>
                <w:color w:val="000000"/>
                <w:sz w:val="18"/>
                <w:szCs w:val="18"/>
                <w:lang w:val="es-CR" w:eastAsia="es-CR"/>
              </w:rPr>
              <w:t>Forma de colocación</w:t>
            </w:r>
          </w:p>
        </w:tc>
        <w:tc>
          <w:tcPr>
            <w:tcW w:w="85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EF6BFE" w14:textId="77777777" w:rsidR="00EE6324" w:rsidRPr="004504ED" w:rsidRDefault="00EE6324" w:rsidP="006D3704">
            <w:pPr>
              <w:ind w:right="0"/>
              <w:jc w:val="center"/>
              <w:rPr>
                <w:color w:val="000000"/>
                <w:sz w:val="18"/>
                <w:szCs w:val="18"/>
                <w:lang w:val="es-CR" w:eastAsia="es-CR"/>
              </w:rPr>
            </w:pPr>
            <w:r w:rsidRPr="00BC3414">
              <w:rPr>
                <w:color w:val="000000"/>
                <w:sz w:val="18"/>
                <w:szCs w:val="18"/>
                <w:lang w:val="es-CR" w:eastAsia="es-CR"/>
              </w:rPr>
              <w:t>Colocación directa, subasta y contratos de colocación</w:t>
            </w:r>
          </w:p>
        </w:tc>
      </w:tr>
    </w:tbl>
    <w:p w14:paraId="2B931369" w14:textId="75934463" w:rsidR="00EE6324" w:rsidRDefault="00EE6324" w:rsidP="00EE6324">
      <w:pPr>
        <w:ind w:right="0"/>
        <w:jc w:val="center"/>
      </w:pPr>
    </w:p>
    <w:p w14:paraId="6BE21C5D" w14:textId="60896847" w:rsidR="00EA18C3" w:rsidRPr="00AE7DF2" w:rsidRDefault="00EA18C3" w:rsidP="00CD40B2">
      <w:pPr>
        <w:ind w:right="0"/>
        <w:rPr>
          <w:sz w:val="20"/>
        </w:rPr>
      </w:pPr>
      <w:r w:rsidRPr="00AE7DF2">
        <w:rPr>
          <w:sz w:val="20"/>
        </w:rPr>
        <w:t xml:space="preserve">Nota: </w:t>
      </w:r>
      <w:r>
        <w:rPr>
          <w:sz w:val="20"/>
        </w:rPr>
        <w:t>Mediante la resolución SGV-</w:t>
      </w:r>
      <w:r w:rsidR="002163AE">
        <w:rPr>
          <w:sz w:val="20"/>
        </w:rPr>
        <w:t>R</w:t>
      </w:r>
      <w:r>
        <w:rPr>
          <w:sz w:val="20"/>
        </w:rPr>
        <w:t>-</w:t>
      </w:r>
      <w:r w:rsidR="002163AE">
        <w:rPr>
          <w:sz w:val="20"/>
        </w:rPr>
        <w:t>3684</w:t>
      </w:r>
      <w:r>
        <w:rPr>
          <w:sz w:val="20"/>
        </w:rPr>
        <w:t xml:space="preserve">, del </w:t>
      </w:r>
      <w:r w:rsidR="002163AE">
        <w:rPr>
          <w:sz w:val="20"/>
        </w:rPr>
        <w:t>27</w:t>
      </w:r>
      <w:r>
        <w:rPr>
          <w:sz w:val="20"/>
        </w:rPr>
        <w:t xml:space="preserve"> de octubre de 2021, s</w:t>
      </w:r>
      <w:r w:rsidRPr="00AE7DF2">
        <w:rPr>
          <w:sz w:val="20"/>
        </w:rPr>
        <w:t>e modifica la serie G3 en cuanto a monto, plazo</w:t>
      </w:r>
      <w:r w:rsidR="00CD40B2">
        <w:rPr>
          <w:sz w:val="20"/>
        </w:rPr>
        <w:t>, fecha de vencimiento</w:t>
      </w:r>
      <w:r w:rsidRPr="00AE7DF2">
        <w:rPr>
          <w:sz w:val="20"/>
        </w:rPr>
        <w:t xml:space="preserve"> y tasa de interés, así como se etiqueta como una emisión verde</w:t>
      </w:r>
      <w:r>
        <w:rPr>
          <w:sz w:val="20"/>
        </w:rPr>
        <w:t xml:space="preserve">, </w:t>
      </w:r>
      <w:r w:rsidR="00CD40B2">
        <w:rPr>
          <w:sz w:val="20"/>
          <w:szCs w:val="20"/>
        </w:rPr>
        <w:t>ya que será utilizada exclusivamente para refinanciar una porción de la deuda de un proyecto verde</w:t>
      </w:r>
      <w:r w:rsidR="00276251">
        <w:rPr>
          <w:sz w:val="20"/>
          <w:szCs w:val="20"/>
        </w:rPr>
        <w:t>.</w:t>
      </w:r>
    </w:p>
    <w:p w14:paraId="2DB388AC" w14:textId="6D49E3AC" w:rsidR="002817B6" w:rsidRDefault="002817B6" w:rsidP="00CD40B2">
      <w:pPr>
        <w:ind w:right="0"/>
      </w:pPr>
    </w:p>
    <w:p w14:paraId="26ED3489" w14:textId="77777777" w:rsidR="002817B6" w:rsidRPr="00E34F7D" w:rsidRDefault="002817B6" w:rsidP="00E34F7D">
      <w:pPr>
        <w:pStyle w:val="Ttulo3"/>
        <w:numPr>
          <w:ilvl w:val="2"/>
          <w:numId w:val="1"/>
        </w:numPr>
        <w:ind w:left="142" w:hanging="709"/>
      </w:pPr>
      <w:bookmarkStart w:id="37" w:name="_Toc71803147"/>
      <w:bookmarkStart w:id="38" w:name="_Toc70035107"/>
      <w:bookmarkStart w:id="39" w:name="_Toc138664888"/>
      <w:r w:rsidRPr="00E34F7D">
        <w:t xml:space="preserve">Bono Verde </w:t>
      </w:r>
      <w:bookmarkEnd w:id="37"/>
      <w:bookmarkEnd w:id="38"/>
      <w:r w:rsidRPr="00E34F7D">
        <w:t>ICE</w:t>
      </w:r>
      <w:bookmarkEnd w:id="39"/>
    </w:p>
    <w:tbl>
      <w:tblPr>
        <w:tblW w:w="9963" w:type="dxa"/>
        <w:tblBorders>
          <w:top w:val="single" w:sz="2" w:space="0" w:color="ED7D31" w:themeColor="accent2"/>
          <w:left w:val="single" w:sz="2" w:space="0" w:color="ED7D31" w:themeColor="accent2"/>
          <w:bottom w:val="single" w:sz="2" w:space="0" w:color="ED7D31" w:themeColor="accent2"/>
          <w:right w:val="single" w:sz="2" w:space="0" w:color="ED7D31" w:themeColor="accent2"/>
          <w:insideH w:val="single" w:sz="2" w:space="0" w:color="ED7D31" w:themeColor="accent2"/>
          <w:insideV w:val="single" w:sz="2" w:space="0" w:color="ED7D31" w:themeColor="accent2"/>
        </w:tblBorders>
        <w:tblLook w:val="04A0" w:firstRow="1" w:lastRow="0" w:firstColumn="1" w:lastColumn="0" w:noHBand="0" w:noVBand="1"/>
      </w:tblPr>
      <w:tblGrid>
        <w:gridCol w:w="2858"/>
        <w:gridCol w:w="7105"/>
      </w:tblGrid>
      <w:tr w:rsidR="002817B6" w14:paraId="26F069E0" w14:textId="77777777" w:rsidTr="00A206F4">
        <w:trPr>
          <w:trHeight w:val="486"/>
        </w:trPr>
        <w:tc>
          <w:tcPr>
            <w:tcW w:w="2858"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75053439" w14:textId="77777777" w:rsidR="002817B6" w:rsidRDefault="002817B6">
            <w:pPr>
              <w:spacing w:line="254" w:lineRule="auto"/>
              <w:jc w:val="left"/>
              <w:rPr>
                <w:rFonts w:ascii="Arial" w:hAnsi="Arial" w:cs="Arial"/>
                <w:b/>
                <w:bCs/>
                <w:color w:val="000000"/>
                <w:sz w:val="18"/>
                <w:szCs w:val="18"/>
                <w:lang w:val="es-CR" w:eastAsia="es-CR"/>
              </w:rPr>
            </w:pPr>
            <w:r>
              <w:rPr>
                <w:rFonts w:ascii="Arial" w:hAnsi="Arial" w:cs="Arial"/>
                <w:b/>
                <w:bCs/>
                <w:color w:val="000000"/>
                <w:sz w:val="18"/>
                <w:szCs w:val="18"/>
                <w:lang w:val="es-CR" w:eastAsia="es-CR"/>
              </w:rPr>
              <w:t>Nombre del programa</w:t>
            </w:r>
          </w:p>
        </w:tc>
        <w:tc>
          <w:tcPr>
            <w:tcW w:w="710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63B16158" w14:textId="77777777" w:rsidR="002817B6" w:rsidRPr="00C85743" w:rsidRDefault="002817B6">
            <w:pPr>
              <w:pStyle w:val="Default"/>
              <w:spacing w:line="254" w:lineRule="auto"/>
              <w:jc w:val="both"/>
              <w:rPr>
                <w:rFonts w:eastAsia="Times New Roman"/>
                <w:b/>
                <w:bCs/>
                <w:color w:val="auto"/>
                <w:sz w:val="18"/>
                <w:szCs w:val="18"/>
                <w:lang w:val="es-ES"/>
              </w:rPr>
            </w:pPr>
            <w:r w:rsidRPr="00C85743">
              <w:rPr>
                <w:b/>
                <w:bCs/>
                <w:color w:val="auto"/>
                <w:sz w:val="18"/>
                <w:szCs w:val="18"/>
                <w:lang w:val="es-ES"/>
              </w:rPr>
              <w:t xml:space="preserve">Programa G de Deuda Estandarizada </w:t>
            </w:r>
          </w:p>
        </w:tc>
      </w:tr>
      <w:tr w:rsidR="002817B6" w14:paraId="684FF49C" w14:textId="77777777" w:rsidTr="00A206F4">
        <w:trPr>
          <w:trHeight w:val="234"/>
        </w:trPr>
        <w:tc>
          <w:tcPr>
            <w:tcW w:w="2858"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701A8858" w14:textId="77777777" w:rsidR="002817B6" w:rsidRDefault="002817B6">
            <w:pPr>
              <w:spacing w:line="254" w:lineRule="auto"/>
              <w:jc w:val="left"/>
              <w:rPr>
                <w:rFonts w:ascii="Arial" w:hAnsi="Arial" w:cs="Arial"/>
                <w:b/>
                <w:bCs/>
                <w:color w:val="000000"/>
                <w:sz w:val="18"/>
                <w:szCs w:val="18"/>
                <w:lang w:val="es-CR" w:eastAsia="es-CR"/>
              </w:rPr>
            </w:pPr>
            <w:r>
              <w:rPr>
                <w:rFonts w:ascii="Arial" w:hAnsi="Arial" w:cs="Arial"/>
                <w:b/>
                <w:bCs/>
                <w:color w:val="000000"/>
                <w:sz w:val="18"/>
                <w:szCs w:val="18"/>
                <w:lang w:val="es-CR" w:eastAsia="es-CR"/>
              </w:rPr>
              <w:t>Monto total del programa</w:t>
            </w:r>
          </w:p>
        </w:tc>
        <w:tc>
          <w:tcPr>
            <w:tcW w:w="710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44ED8D3B" w14:textId="5F0FB0A3" w:rsidR="002817B6" w:rsidRPr="00C85743" w:rsidRDefault="00727E68">
            <w:pPr>
              <w:rPr>
                <w:rFonts w:ascii="Arial" w:hAnsi="Arial" w:cs="Arial"/>
                <w:b/>
                <w:bCs/>
                <w:sz w:val="18"/>
                <w:szCs w:val="18"/>
                <w:lang w:val="es-CR" w:eastAsia="es-CR"/>
              </w:rPr>
            </w:pPr>
            <w:r w:rsidRPr="00C85743">
              <w:rPr>
                <w:rFonts w:ascii="Arial" w:hAnsi="Arial" w:cs="Arial"/>
                <w:b/>
                <w:bCs/>
                <w:sz w:val="18"/>
                <w:szCs w:val="18"/>
                <w:lang w:val="es-CR" w:eastAsia="es-CR"/>
              </w:rPr>
              <w:t>$350,000,000</w:t>
            </w:r>
          </w:p>
        </w:tc>
      </w:tr>
      <w:tr w:rsidR="002817B6" w14:paraId="7598BAF2" w14:textId="77777777" w:rsidTr="00A206F4">
        <w:trPr>
          <w:trHeight w:val="234"/>
        </w:trPr>
        <w:tc>
          <w:tcPr>
            <w:tcW w:w="2858"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5E67FF41" w14:textId="77777777" w:rsidR="002817B6" w:rsidRDefault="002817B6">
            <w:pPr>
              <w:spacing w:line="254" w:lineRule="auto"/>
              <w:jc w:val="left"/>
              <w:rPr>
                <w:rFonts w:ascii="Arial" w:hAnsi="Arial" w:cs="Arial"/>
                <w:b/>
                <w:bCs/>
                <w:color w:val="000000"/>
                <w:sz w:val="18"/>
                <w:szCs w:val="18"/>
                <w:lang w:val="es-CR" w:eastAsia="es-CR"/>
              </w:rPr>
            </w:pPr>
            <w:r>
              <w:rPr>
                <w:rFonts w:ascii="Arial" w:hAnsi="Arial" w:cs="Arial"/>
                <w:b/>
                <w:bCs/>
                <w:color w:val="000000"/>
                <w:sz w:val="18"/>
                <w:szCs w:val="18"/>
                <w:lang w:val="es-CR" w:eastAsia="es-CR"/>
              </w:rPr>
              <w:t>Moneda</w:t>
            </w:r>
          </w:p>
        </w:tc>
        <w:tc>
          <w:tcPr>
            <w:tcW w:w="710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vAlign w:val="center"/>
            <w:hideMark/>
          </w:tcPr>
          <w:p w14:paraId="56B840BF" w14:textId="3BA78F26" w:rsidR="002817B6" w:rsidRPr="00C85743" w:rsidRDefault="00727E68">
            <w:pPr>
              <w:spacing w:line="254" w:lineRule="auto"/>
              <w:jc w:val="left"/>
              <w:rPr>
                <w:rFonts w:ascii="Arial" w:hAnsi="Arial" w:cs="Arial"/>
                <w:b/>
                <w:bCs/>
                <w:sz w:val="18"/>
                <w:szCs w:val="18"/>
                <w:lang w:val="es-CR" w:eastAsia="es-CR"/>
              </w:rPr>
            </w:pPr>
            <w:r w:rsidRPr="00C85743">
              <w:rPr>
                <w:rFonts w:ascii="Arial" w:hAnsi="Arial" w:cs="Arial"/>
                <w:b/>
                <w:bCs/>
                <w:sz w:val="18"/>
                <w:szCs w:val="18"/>
                <w:lang w:val="es-CR" w:eastAsia="es-CR"/>
              </w:rPr>
              <w:t>Dólares o su equivalente en colones</w:t>
            </w:r>
          </w:p>
        </w:tc>
      </w:tr>
    </w:tbl>
    <w:p w14:paraId="7F48D4C4" w14:textId="77777777" w:rsidR="002817B6" w:rsidRDefault="002817B6" w:rsidP="002817B6">
      <w:pPr>
        <w:rPr>
          <w:rFonts w:ascii="Arial" w:eastAsia="Batang" w:hAnsi="Arial" w:cs="Arial"/>
          <w:b/>
          <w:sz w:val="16"/>
          <w:szCs w:val="20"/>
          <w:lang w:val="es-ES" w:eastAsia="es-ES"/>
        </w:rPr>
      </w:pPr>
    </w:p>
    <w:p w14:paraId="281750FA" w14:textId="77777777" w:rsidR="002817B6" w:rsidRDefault="002817B6" w:rsidP="002817B6">
      <w:pPr>
        <w:jc w:val="left"/>
        <w:rPr>
          <w:rFonts w:ascii="Arial" w:hAnsi="Arial" w:cs="Arial"/>
          <w:b/>
          <w:bCs/>
          <w:color w:val="000000"/>
          <w:sz w:val="18"/>
          <w:szCs w:val="18"/>
          <w:lang w:val="es-CR" w:eastAsia="es-CR"/>
        </w:rPr>
      </w:pPr>
      <w:r>
        <w:rPr>
          <w:rFonts w:ascii="Arial" w:hAnsi="Arial" w:cs="Arial"/>
          <w:b/>
          <w:bCs/>
          <w:color w:val="000000"/>
          <w:sz w:val="18"/>
          <w:szCs w:val="18"/>
          <w:lang w:val="es-CR" w:eastAsia="es-CR"/>
        </w:rPr>
        <w:t>CARACTERISTICAS DE LAS EMISIONES -SERIES- EN CIRCULACION</w:t>
      </w:r>
    </w:p>
    <w:tbl>
      <w:tblPr>
        <w:tblStyle w:val="Tablaconcuadrcula2-nfasis6"/>
        <w:tblW w:w="5253" w:type="pct"/>
        <w:tblInd w:w="0" w:type="dxa"/>
        <w:tblBorders>
          <w:top w:val="single" w:sz="2" w:space="0" w:color="ED7D31" w:themeColor="accent2"/>
          <w:left w:val="single" w:sz="2" w:space="0" w:color="ED7D31" w:themeColor="accent2"/>
          <w:bottom w:val="single" w:sz="2" w:space="0" w:color="ED7D31" w:themeColor="accent2"/>
          <w:right w:val="single" w:sz="2" w:space="0" w:color="ED7D31" w:themeColor="accent2"/>
          <w:insideH w:val="single" w:sz="2" w:space="0" w:color="ED7D31" w:themeColor="accent2"/>
          <w:insideV w:val="single" w:sz="2" w:space="0" w:color="ED7D31" w:themeColor="accent2"/>
        </w:tblBorders>
        <w:tblLook w:val="04A0" w:firstRow="1" w:lastRow="0" w:firstColumn="1" w:lastColumn="0" w:noHBand="0" w:noVBand="1"/>
      </w:tblPr>
      <w:tblGrid>
        <w:gridCol w:w="2637"/>
        <w:gridCol w:w="6959"/>
      </w:tblGrid>
      <w:tr w:rsidR="002817B6" w:rsidRPr="00C85743" w14:paraId="75F4C4A3" w14:textId="77777777" w:rsidTr="0028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left w:val="single" w:sz="2" w:space="0" w:color="ED7D31" w:themeColor="accent2"/>
            </w:tcBorders>
            <w:shd w:val="clear" w:color="auto" w:fill="E2EFD9" w:themeFill="accent6" w:themeFillTint="33"/>
            <w:hideMark/>
          </w:tcPr>
          <w:p w14:paraId="218A3E58"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Tipo de emisión</w:t>
            </w:r>
          </w:p>
        </w:tc>
        <w:tc>
          <w:tcPr>
            <w:tcW w:w="3626" w:type="pct"/>
            <w:tcBorders>
              <w:top w:val="single" w:sz="4" w:space="0" w:color="auto"/>
              <w:right w:val="single" w:sz="2" w:space="0" w:color="ED7D31" w:themeColor="accent2"/>
            </w:tcBorders>
            <w:shd w:val="clear" w:color="auto" w:fill="E2EFD9" w:themeFill="accent6" w:themeFillTint="33"/>
            <w:hideMark/>
          </w:tcPr>
          <w:p w14:paraId="4F86804C" w14:textId="77777777" w:rsidR="002817B6" w:rsidRPr="00C85743" w:rsidRDefault="002817B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CR" w:eastAsia="es-CR"/>
              </w:rPr>
            </w:pPr>
            <w:r w:rsidRPr="00C85743">
              <w:rPr>
                <w:rFonts w:ascii="Arial" w:hAnsi="Arial" w:cs="Arial"/>
                <w:color w:val="000000"/>
                <w:sz w:val="18"/>
                <w:szCs w:val="18"/>
                <w:lang w:val="es-CR" w:eastAsia="es-CR"/>
              </w:rPr>
              <w:t>Bonos</w:t>
            </w:r>
          </w:p>
        </w:tc>
      </w:tr>
      <w:tr w:rsidR="002817B6" w:rsidRPr="00C85743" w14:paraId="1E639A0E"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ED7D31" w:themeColor="accent2"/>
              <w:left w:val="single" w:sz="2" w:space="0" w:color="ED7D31" w:themeColor="accent2"/>
              <w:bottom w:val="single" w:sz="2" w:space="0" w:color="ED7D31" w:themeColor="accent2"/>
              <w:right w:val="single" w:sz="2" w:space="0" w:color="ED7D31" w:themeColor="accent2"/>
            </w:tcBorders>
            <w:shd w:val="clear" w:color="auto" w:fill="538135" w:themeFill="accent6" w:themeFillShade="BF"/>
          </w:tcPr>
          <w:p w14:paraId="4A28AA09" w14:textId="77777777" w:rsidR="002817B6" w:rsidRPr="00C85743" w:rsidRDefault="002817B6">
            <w:pPr>
              <w:jc w:val="left"/>
              <w:rPr>
                <w:rFonts w:ascii="Arial" w:hAnsi="Arial" w:cs="Arial"/>
                <w:color w:val="FFFFFF" w:themeColor="background1"/>
                <w:sz w:val="18"/>
                <w:szCs w:val="18"/>
                <w:lang w:val="es-CR" w:eastAsia="es-CR"/>
              </w:rPr>
            </w:pPr>
          </w:p>
        </w:tc>
        <w:tc>
          <w:tcPr>
            <w:tcW w:w="3626" w:type="pct"/>
            <w:tcBorders>
              <w:top w:val="single" w:sz="4" w:space="0" w:color="ED7D31" w:themeColor="accent2"/>
              <w:left w:val="single" w:sz="2" w:space="0" w:color="ED7D31" w:themeColor="accent2"/>
              <w:bottom w:val="single" w:sz="2" w:space="0" w:color="ED7D31" w:themeColor="accent2"/>
              <w:right w:val="single" w:sz="2" w:space="0" w:color="ED7D31" w:themeColor="accent2"/>
            </w:tcBorders>
            <w:shd w:val="clear" w:color="auto" w:fill="538135" w:themeFill="accent6" w:themeFillShade="BF"/>
            <w:hideMark/>
          </w:tcPr>
          <w:p w14:paraId="150FE8D3" w14:textId="77777777" w:rsidR="002817B6" w:rsidRPr="00C85743" w:rsidRDefault="002817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lang w:val="es-CR" w:eastAsia="es-CR"/>
              </w:rPr>
            </w:pPr>
            <w:r w:rsidRPr="00C85743">
              <w:rPr>
                <w:rFonts w:ascii="Arial" w:hAnsi="Arial" w:cs="Arial"/>
                <w:b/>
                <w:bCs/>
                <w:color w:val="FFFFFF" w:themeColor="background1"/>
                <w:sz w:val="18"/>
                <w:szCs w:val="18"/>
                <w:lang w:val="es-CR" w:eastAsia="es-CR"/>
              </w:rPr>
              <w:t xml:space="preserve">Bono Verde </w:t>
            </w:r>
          </w:p>
        </w:tc>
      </w:tr>
      <w:tr w:rsidR="002817B6" w:rsidRPr="00C85743" w14:paraId="506FB60B"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6E19D5C9"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Nombre de la emisión -serie-</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702B83E4" w14:textId="57C2FCCB" w:rsidR="002817B6" w:rsidRPr="00C85743" w:rsidRDefault="00727E68" w:rsidP="00EE31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R" w:eastAsia="es-CR"/>
              </w:rPr>
            </w:pPr>
            <w:r w:rsidRPr="00C85743">
              <w:rPr>
                <w:rFonts w:ascii="Arial" w:hAnsi="Arial" w:cs="Arial"/>
                <w:color w:val="000000"/>
                <w:sz w:val="18"/>
                <w:szCs w:val="18"/>
                <w:lang w:val="es-CR" w:eastAsia="es-CR"/>
              </w:rPr>
              <w:t>Serie G3</w:t>
            </w:r>
            <w:r w:rsidR="00EA18C3">
              <w:rPr>
                <w:rFonts w:ascii="Arial" w:hAnsi="Arial" w:cs="Arial"/>
                <w:color w:val="000000"/>
                <w:sz w:val="18"/>
                <w:szCs w:val="18"/>
                <w:lang w:val="es-CR" w:eastAsia="es-CR"/>
              </w:rPr>
              <w:t>V</w:t>
            </w:r>
          </w:p>
        </w:tc>
      </w:tr>
      <w:tr w:rsidR="002817B6" w:rsidRPr="00C85743" w14:paraId="631E8F34"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68A79358"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Código ISIN</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03E0D2D4" w14:textId="77777777" w:rsidR="00727E68" w:rsidRPr="00C85743" w:rsidRDefault="00727E68" w:rsidP="00727E68">
            <w:pPr>
              <w:ind w:right="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R" w:eastAsia="es-CR"/>
              </w:rPr>
            </w:pPr>
            <w:r w:rsidRPr="00C85743">
              <w:rPr>
                <w:rFonts w:ascii="Arial" w:hAnsi="Arial" w:cs="Arial"/>
                <w:b/>
                <w:bCs/>
                <w:color w:val="000000"/>
                <w:sz w:val="18"/>
                <w:szCs w:val="18"/>
              </w:rPr>
              <w:t>CRICE00B0226</w:t>
            </w:r>
          </w:p>
          <w:p w14:paraId="7FCC7E84" w14:textId="77777777" w:rsidR="002817B6" w:rsidRPr="00C85743" w:rsidRDefault="002817B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lang w:val="es-CR" w:eastAsia="es-CR"/>
              </w:rPr>
            </w:pPr>
          </w:p>
        </w:tc>
      </w:tr>
      <w:tr w:rsidR="002817B6" w:rsidRPr="00C85743" w14:paraId="4C400F1C"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2668A478"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Nemotécnico</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tcPr>
          <w:p w14:paraId="177A5C9F" w14:textId="41BF32FB"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bicg3</w:t>
            </w:r>
          </w:p>
        </w:tc>
      </w:tr>
      <w:tr w:rsidR="002817B6" w:rsidRPr="00C85743" w14:paraId="6BA02F38"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50908CB9"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Clase de Instrumentos</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54737018" w14:textId="77777777" w:rsidR="002817B6" w:rsidRPr="00C85743" w:rsidRDefault="002817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Bono</w:t>
            </w:r>
          </w:p>
        </w:tc>
      </w:tr>
      <w:tr w:rsidR="002817B6" w:rsidRPr="00C85743" w14:paraId="688E729B"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7B4063C3"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Monto de la emisión y moneda</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704029BF" w14:textId="11405D44"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 xml:space="preserve"> ¢30,000,000,000</w:t>
            </w:r>
          </w:p>
        </w:tc>
      </w:tr>
      <w:tr w:rsidR="002817B6" w:rsidRPr="00C85743" w14:paraId="6BBC03C6"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3BCF85A4"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 xml:space="preserve">Moneda </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2346BC8C" w14:textId="77777777" w:rsidR="002817B6" w:rsidRPr="00C85743" w:rsidRDefault="002817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Colones</w:t>
            </w:r>
          </w:p>
        </w:tc>
      </w:tr>
      <w:tr w:rsidR="002817B6" w:rsidRPr="00C85743" w14:paraId="48DDC8D4"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26E9B69F"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Plazo de la serie</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6F0FB69E" w14:textId="227CE67B"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8</w:t>
            </w:r>
            <w:r w:rsidR="002817B6" w:rsidRPr="00C85743">
              <w:rPr>
                <w:rFonts w:ascii="Arial" w:hAnsi="Arial" w:cs="Arial"/>
                <w:sz w:val="18"/>
                <w:szCs w:val="18"/>
                <w:lang w:val="es-CR" w:eastAsia="es-CR"/>
              </w:rPr>
              <w:t xml:space="preserve"> años</w:t>
            </w:r>
          </w:p>
        </w:tc>
      </w:tr>
      <w:tr w:rsidR="002817B6" w:rsidRPr="00C85743" w14:paraId="7405C209"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7F6E498C"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Fecha de emisión</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45088C93" w14:textId="1CFEA4A9" w:rsidR="002817B6" w:rsidRPr="00C85743" w:rsidRDefault="00727E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24/08/2020</w:t>
            </w:r>
          </w:p>
        </w:tc>
      </w:tr>
      <w:tr w:rsidR="002817B6" w:rsidRPr="00C85743" w14:paraId="4B562A87"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hideMark/>
          </w:tcPr>
          <w:p w14:paraId="1BF1BCEC"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Fecha de vencimiento</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2EFD9" w:themeFill="accent6" w:themeFillTint="33"/>
          </w:tcPr>
          <w:p w14:paraId="23E961B5" w14:textId="6B10245D"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24/08/2028</w:t>
            </w:r>
          </w:p>
        </w:tc>
      </w:tr>
      <w:tr w:rsidR="002817B6" w:rsidRPr="00C85743" w14:paraId="35CC9BED"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43AA6BB6"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Denominación o valor facial</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7BF309D1" w14:textId="411834EB" w:rsidR="002817B6" w:rsidRPr="00C85743" w:rsidRDefault="00727E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¢1,000,000</w:t>
            </w:r>
          </w:p>
        </w:tc>
      </w:tr>
      <w:tr w:rsidR="002817B6" w:rsidRPr="00C85743" w14:paraId="0553E744"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154C1F76"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Tasa de interés Bruta (1)</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245FABF0" w14:textId="76FE7025"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7.33%</w:t>
            </w:r>
          </w:p>
        </w:tc>
      </w:tr>
      <w:tr w:rsidR="002817B6" w:rsidRPr="00C85743" w14:paraId="2C3ABC04"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7EDBBD58"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Tasa interés neta</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4EFBC829" w14:textId="37F35CF3" w:rsidR="002817B6" w:rsidRPr="00C85743" w:rsidRDefault="00727E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Tasa bruta menos el impuesto sobre la renta aplicable</w:t>
            </w:r>
          </w:p>
        </w:tc>
      </w:tr>
      <w:tr w:rsidR="002817B6" w:rsidRPr="00C85743" w14:paraId="6B3256DB"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644BA73D"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Periodicidad de pago intereses</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tcPr>
          <w:p w14:paraId="455BBB6E" w14:textId="6D2C75A6" w:rsidR="002817B6" w:rsidRPr="00C85743" w:rsidRDefault="00727E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Cupón semestral</w:t>
            </w:r>
          </w:p>
        </w:tc>
      </w:tr>
      <w:tr w:rsidR="002817B6" w:rsidRPr="00C85743" w14:paraId="1FBA1C58"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053AFEFB"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Forma de representación</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43549A8E" w14:textId="77777777" w:rsidR="002817B6" w:rsidRPr="00C85743" w:rsidRDefault="002817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Anotación electrónica en cuenta</w:t>
            </w:r>
          </w:p>
        </w:tc>
      </w:tr>
      <w:tr w:rsidR="002817B6" w:rsidRPr="00C85743" w14:paraId="7B4D0CDB"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41DE1EE1"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Ley de circulación</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01537F73" w14:textId="77777777" w:rsidR="002817B6" w:rsidRPr="00C85743" w:rsidRDefault="002817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A la orden</w:t>
            </w:r>
          </w:p>
        </w:tc>
      </w:tr>
      <w:tr w:rsidR="002817B6" w:rsidRPr="00C85743" w14:paraId="20C87C5B" w14:textId="77777777" w:rsidTr="0028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55F32299" w14:textId="7777777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Forma de colocación</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6B832251" w14:textId="74E04ACD" w:rsidR="002817B6" w:rsidRPr="00C85743" w:rsidRDefault="00727E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eastAsia="es-CR"/>
              </w:rPr>
            </w:pPr>
            <w:r w:rsidRPr="00C85743">
              <w:rPr>
                <w:rFonts w:ascii="Arial" w:hAnsi="Arial" w:cs="Arial"/>
                <w:sz w:val="18"/>
                <w:szCs w:val="18"/>
                <w:lang w:val="es-CR" w:eastAsia="es-CR"/>
              </w:rPr>
              <w:t>Colocación directa, subasta y contratos de colocación</w:t>
            </w:r>
          </w:p>
        </w:tc>
      </w:tr>
      <w:tr w:rsidR="002817B6" w:rsidRPr="00C85743" w14:paraId="787F2C96" w14:textId="77777777" w:rsidTr="002817B6">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00A3B4DF" w14:textId="00C198A7" w:rsidR="002817B6" w:rsidRPr="00C85743" w:rsidRDefault="002817B6">
            <w:pPr>
              <w:jc w:val="left"/>
              <w:rPr>
                <w:rFonts w:ascii="Arial" w:hAnsi="Arial" w:cs="Arial"/>
                <w:color w:val="000000"/>
                <w:sz w:val="18"/>
                <w:szCs w:val="18"/>
                <w:lang w:val="es-CR" w:eastAsia="es-CR"/>
              </w:rPr>
            </w:pPr>
            <w:r w:rsidRPr="00C85743">
              <w:rPr>
                <w:rFonts w:ascii="Arial" w:hAnsi="Arial" w:cs="Arial"/>
                <w:color w:val="000000"/>
                <w:sz w:val="18"/>
                <w:szCs w:val="18"/>
                <w:lang w:val="es-CR" w:eastAsia="es-CR"/>
              </w:rPr>
              <w:t xml:space="preserve">Destino de los recursos </w:t>
            </w:r>
          </w:p>
        </w:tc>
        <w:tc>
          <w:tcPr>
            <w:tcW w:w="3626" w:type="pct"/>
            <w:tcBorders>
              <w:top w:val="single" w:sz="2" w:space="0" w:color="ED7D31" w:themeColor="accent2"/>
              <w:left w:val="single" w:sz="2" w:space="0" w:color="ED7D31" w:themeColor="accent2"/>
              <w:bottom w:val="single" w:sz="2" w:space="0" w:color="ED7D31" w:themeColor="accent2"/>
              <w:right w:val="single" w:sz="2" w:space="0" w:color="ED7D31" w:themeColor="accent2"/>
            </w:tcBorders>
            <w:hideMark/>
          </w:tcPr>
          <w:p w14:paraId="235E6CC3" w14:textId="17A5B05E" w:rsidR="002817B6" w:rsidRPr="00C85743" w:rsidRDefault="002817B6">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s-CR" w:eastAsia="es-CR"/>
              </w:rPr>
            </w:pPr>
            <w:r w:rsidRPr="00C85743">
              <w:rPr>
                <w:rFonts w:ascii="Arial" w:hAnsi="Arial" w:cs="Arial"/>
                <w:sz w:val="18"/>
                <w:szCs w:val="18"/>
                <w:lang w:val="es-CR" w:eastAsia="es-CR"/>
              </w:rPr>
              <w:t>Los ingresos netos del bono verde se utilizarán exclusivamente para refinanciar una parte de la deuda existente en relación con la construcción y puesta en marcha de la Planta Hidroeléctrica Reventazón (PHR) de 305,5 MW.  Específicamente para la cancelación parcial del Eurobono emitido por el ICE en el año 2011 para ese fin</w:t>
            </w:r>
            <w:r w:rsidR="00413986">
              <w:rPr>
                <w:rFonts w:ascii="Arial" w:hAnsi="Arial" w:cs="Arial"/>
                <w:sz w:val="18"/>
                <w:szCs w:val="18"/>
                <w:lang w:val="es-CR" w:eastAsia="es-CR"/>
              </w:rPr>
              <w:t>.</w:t>
            </w:r>
          </w:p>
        </w:tc>
      </w:tr>
    </w:tbl>
    <w:p w14:paraId="41DE613A" w14:textId="77777777" w:rsidR="002817B6" w:rsidRPr="00C85743" w:rsidRDefault="002817B6" w:rsidP="002817B6">
      <w:pPr>
        <w:spacing w:after="160" w:line="254" w:lineRule="auto"/>
        <w:jc w:val="left"/>
        <w:rPr>
          <w:rFonts w:ascii="Arial" w:eastAsia="Batang" w:hAnsi="Arial" w:cs="Arial"/>
          <w:sz w:val="16"/>
          <w:szCs w:val="16"/>
          <w:lang w:val="es-ES" w:eastAsia="es-ES"/>
        </w:rPr>
      </w:pPr>
    </w:p>
    <w:p w14:paraId="0B44D181" w14:textId="77777777" w:rsidR="002817B6" w:rsidRDefault="002817B6" w:rsidP="002817B6">
      <w:pPr>
        <w:ind w:right="51"/>
        <w:rPr>
          <w:noProof/>
          <w:szCs w:val="20"/>
        </w:rPr>
      </w:pPr>
      <w:r w:rsidRPr="00C85743">
        <w:rPr>
          <w:rFonts w:ascii="Arial" w:hAnsi="Arial" w:cs="Arial"/>
          <w:b/>
          <w:sz w:val="18"/>
          <w:szCs w:val="18"/>
        </w:rPr>
        <w:t>Notas:</w:t>
      </w:r>
      <w:r>
        <w:rPr>
          <w:noProof/>
        </w:rPr>
        <w:t xml:space="preserve"> </w:t>
      </w:r>
    </w:p>
    <w:p w14:paraId="6A25F6C3" w14:textId="77777777" w:rsidR="002817B6" w:rsidRDefault="002817B6" w:rsidP="002817B6">
      <w:pPr>
        <w:autoSpaceDE w:val="0"/>
        <w:autoSpaceDN w:val="0"/>
        <w:adjustRightInd w:val="0"/>
        <w:rPr>
          <w:rFonts w:ascii="Arial" w:eastAsiaTheme="minorHAnsi" w:hAnsi="Arial" w:cs="Arial"/>
          <w:sz w:val="18"/>
          <w:szCs w:val="18"/>
          <w:lang w:val="es-CR" w:eastAsia="en-US"/>
        </w:rPr>
      </w:pPr>
      <w:r>
        <w:rPr>
          <w:rFonts w:ascii="Arial" w:eastAsiaTheme="minorHAnsi" w:hAnsi="Arial" w:cs="Arial"/>
          <w:sz w:val="18"/>
          <w:szCs w:val="18"/>
          <w:lang w:val="es-CR" w:eastAsia="en-US"/>
        </w:rPr>
        <w:t xml:space="preserve">(1) Tratamiento Fiscal: El tratamiento tributario se encuentra sujeto al ordenamiento jurídico costarricense, de conformidad con lo dispuesto en la Ley No. 7092, Ley del Impuesto sobre la Renta, reformada por la Ley No. 9635 Ley de Fortalecimiento de las Finanzas Públicas, su reglamento y los pronunciamientos de la Autoridad Tributaria Costarricense. </w:t>
      </w:r>
    </w:p>
    <w:p w14:paraId="4D7879D2" w14:textId="77CEA2C2" w:rsidR="002817B6" w:rsidRDefault="002817B6" w:rsidP="002817B6">
      <w:pPr>
        <w:rPr>
          <w:rFonts w:ascii="Arial" w:eastAsiaTheme="minorHAnsi" w:hAnsi="Arial" w:cs="Arial"/>
          <w:sz w:val="18"/>
          <w:szCs w:val="18"/>
          <w:lang w:val="es-CR" w:eastAsia="en-US"/>
        </w:rPr>
      </w:pPr>
      <w:bookmarkStart w:id="40" w:name="_Hlk68594850"/>
    </w:p>
    <w:bookmarkEnd w:id="40"/>
    <w:p w14:paraId="19F5F228" w14:textId="243E82FF" w:rsidR="002817B6" w:rsidRDefault="002817B6" w:rsidP="00391942">
      <w:pPr>
        <w:ind w:right="51"/>
        <w:rPr>
          <w:rFonts w:ascii="Arial" w:eastAsiaTheme="minorHAnsi" w:hAnsi="Arial" w:cs="Arial"/>
          <w:sz w:val="18"/>
          <w:szCs w:val="18"/>
          <w:lang w:val="es-CR" w:eastAsia="en-US"/>
        </w:rPr>
      </w:pPr>
    </w:p>
    <w:p w14:paraId="0B5797BD" w14:textId="77777777" w:rsidR="002817B6" w:rsidRDefault="002817B6" w:rsidP="00391942">
      <w:pPr>
        <w:spacing w:line="256" w:lineRule="auto"/>
        <w:rPr>
          <w:rFonts w:ascii="Arial" w:eastAsia="Batang" w:hAnsi="Arial" w:cs="Arial"/>
          <w:sz w:val="20"/>
          <w:szCs w:val="20"/>
          <w:highlight w:val="yellow"/>
          <w:lang w:val="es-ES" w:eastAsia="es-ES"/>
        </w:rPr>
      </w:pPr>
      <w:r>
        <w:rPr>
          <w:rFonts w:ascii="Arial" w:hAnsi="Arial" w:cs="Arial"/>
          <w:sz w:val="20"/>
          <w:highlight w:val="yellow"/>
        </w:rPr>
        <w:br w:type="page"/>
      </w:r>
    </w:p>
    <w:p w14:paraId="3A64F1C5" w14:textId="5B8EFAEA" w:rsidR="002817B6" w:rsidRDefault="002817B6" w:rsidP="002817B6">
      <w:pPr>
        <w:rPr>
          <w:rFonts w:ascii="Arial" w:hAnsi="Arial" w:cs="Arial"/>
          <w:b/>
          <w:sz w:val="20"/>
        </w:rPr>
      </w:pPr>
      <w:r>
        <w:rPr>
          <w:rFonts w:ascii="Arial" w:hAnsi="Arial" w:cs="Arial"/>
          <w:b/>
          <w:sz w:val="20"/>
        </w:rPr>
        <w:t>SOBRE EL ICE</w:t>
      </w:r>
    </w:p>
    <w:p w14:paraId="173CCA90" w14:textId="77777777" w:rsidR="00413986" w:rsidRDefault="00413986" w:rsidP="002817B6">
      <w:pPr>
        <w:rPr>
          <w:rFonts w:ascii="Arial" w:hAnsi="Arial" w:cs="Arial"/>
          <w:b/>
          <w:sz w:val="20"/>
        </w:rPr>
      </w:pPr>
    </w:p>
    <w:p w14:paraId="4D9BF0AD" w14:textId="4A6BCD08" w:rsidR="002817B6" w:rsidRDefault="002817B6" w:rsidP="002817B6">
      <w:pPr>
        <w:rPr>
          <w:rFonts w:ascii="Arial" w:hAnsi="Arial" w:cs="Arial"/>
          <w:sz w:val="20"/>
        </w:rPr>
      </w:pPr>
      <w:r>
        <w:rPr>
          <w:rFonts w:ascii="Arial" w:hAnsi="Arial" w:cs="Arial"/>
          <w:sz w:val="20"/>
        </w:rPr>
        <w:t>El Instituto Costarricense de Electricidad (ICE) es una institución descentralizada del Estado costarricense que fue creado con la Ley No. 449 de 1949. Su propósito ha sido el desarrollo racional de las fuentes productoras de electricidad, para satisfacer la demanda eléctrica nacional con calidad, continuidad, confiabilidad y seguridad, haciendo un uso racional y sostenible de los recursos naturales.</w:t>
      </w:r>
    </w:p>
    <w:p w14:paraId="24A57F4E" w14:textId="77777777" w:rsidR="00413986" w:rsidRDefault="00413986" w:rsidP="002817B6">
      <w:pPr>
        <w:rPr>
          <w:rFonts w:ascii="Arial" w:hAnsi="Arial" w:cs="Arial"/>
          <w:sz w:val="20"/>
        </w:rPr>
      </w:pPr>
    </w:p>
    <w:p w14:paraId="4862003E" w14:textId="77777777" w:rsidR="00413986" w:rsidRDefault="002817B6" w:rsidP="002817B6">
      <w:pPr>
        <w:rPr>
          <w:rFonts w:ascii="Arial" w:hAnsi="Arial" w:cs="Arial"/>
          <w:sz w:val="20"/>
        </w:rPr>
      </w:pPr>
      <w:r>
        <w:rPr>
          <w:rFonts w:ascii="Arial" w:hAnsi="Arial" w:cs="Arial"/>
          <w:sz w:val="20"/>
        </w:rPr>
        <w:t>Desde el año 2017, Costa Rica ha producido más del 98% de su energía eléctrica con fuentes limpias y renovables.  A nivel nacional, en el año 2020, la matriz eléctrica de Costa Rica estuvo compuesta en un 67,5%, de fuentes hidroeléctricas, un 17% de energía eólica, la geotérmica aportó el 13,5%, por su parte la biomasa y solar fueron el 0,84% y la térmica un 1,16 %. En este contexto, el ICE es el principal agente energético de Costa Rica y gran contribuyente a los logros energéticos del país. Su sistema de generación de electricidad dispone de 28 plantas de generación (quince hidroeléctricas, cinco térmicas, siete geotérmicas y una eólica), para una capacidad instalada de 2437 MW, equivalente al 67.9% del Sistema Eléctrico Nacional (SEN).</w:t>
      </w:r>
    </w:p>
    <w:p w14:paraId="726CFC14" w14:textId="7C118D2D" w:rsidR="002817B6" w:rsidRDefault="002817B6" w:rsidP="002817B6">
      <w:pPr>
        <w:rPr>
          <w:rFonts w:ascii="Arial" w:hAnsi="Arial" w:cs="Arial"/>
          <w:sz w:val="20"/>
        </w:rPr>
      </w:pPr>
      <w:r>
        <w:rPr>
          <w:rFonts w:ascii="Arial" w:hAnsi="Arial" w:cs="Arial"/>
          <w:sz w:val="20"/>
        </w:rPr>
        <w:t xml:space="preserve">  </w:t>
      </w:r>
    </w:p>
    <w:p w14:paraId="69A0DEC4" w14:textId="77777777" w:rsidR="00413986" w:rsidRDefault="002817B6" w:rsidP="002817B6">
      <w:pPr>
        <w:rPr>
          <w:rFonts w:ascii="Arial" w:hAnsi="Arial" w:cs="Arial"/>
          <w:sz w:val="20"/>
        </w:rPr>
      </w:pPr>
      <w:r>
        <w:rPr>
          <w:rFonts w:ascii="Arial" w:hAnsi="Arial" w:cs="Arial"/>
          <w:sz w:val="20"/>
        </w:rPr>
        <w:t>Además, el ICE es un actor clave en el mercado regional a través del Sistema de Interconexión Eléctrica de los Países de América Central (SIEPAC).</w:t>
      </w:r>
    </w:p>
    <w:p w14:paraId="5A0F864C" w14:textId="72B01EF7" w:rsidR="002817B6" w:rsidRDefault="002817B6" w:rsidP="002817B6">
      <w:pPr>
        <w:rPr>
          <w:rFonts w:ascii="Arial" w:hAnsi="Arial" w:cs="Arial"/>
          <w:sz w:val="20"/>
        </w:rPr>
      </w:pPr>
      <w:r>
        <w:rPr>
          <w:rFonts w:ascii="Arial" w:hAnsi="Arial" w:cs="Arial"/>
          <w:sz w:val="20"/>
        </w:rPr>
        <w:t xml:space="preserve"> </w:t>
      </w:r>
    </w:p>
    <w:p w14:paraId="209FF557" w14:textId="1233AAD7" w:rsidR="002817B6" w:rsidRDefault="002817B6" w:rsidP="002817B6">
      <w:pPr>
        <w:rPr>
          <w:rFonts w:ascii="Arial" w:hAnsi="Arial" w:cs="Arial"/>
          <w:b/>
          <w:sz w:val="20"/>
        </w:rPr>
      </w:pPr>
      <w:r>
        <w:rPr>
          <w:rFonts w:ascii="Arial" w:hAnsi="Arial" w:cs="Arial"/>
          <w:b/>
          <w:sz w:val="20"/>
        </w:rPr>
        <w:t>EL ICE Y LA SOSTENIBILIDAD</w:t>
      </w:r>
    </w:p>
    <w:p w14:paraId="632DBA3E" w14:textId="77777777" w:rsidR="00413986" w:rsidRDefault="00413986" w:rsidP="002817B6">
      <w:pPr>
        <w:rPr>
          <w:rFonts w:ascii="Arial" w:hAnsi="Arial" w:cs="Arial"/>
          <w:b/>
          <w:sz w:val="20"/>
        </w:rPr>
      </w:pPr>
    </w:p>
    <w:p w14:paraId="3393DB61" w14:textId="6C4EC8F1" w:rsidR="002817B6" w:rsidRDefault="002817B6" w:rsidP="002817B6">
      <w:pPr>
        <w:rPr>
          <w:rFonts w:ascii="Arial" w:hAnsi="Arial" w:cs="Arial"/>
          <w:sz w:val="20"/>
        </w:rPr>
      </w:pPr>
      <w:r>
        <w:rPr>
          <w:rFonts w:ascii="Arial" w:hAnsi="Arial" w:cs="Arial"/>
          <w:sz w:val="20"/>
        </w:rPr>
        <w:t>Desde la creación del Instituto Costarricense de Electricidad (ICE) en el año 1949, la incorporación de la dimensión ambiental y social, ha estado inmersa, como elementos decisorios, en cada una de las actividades, obras y proyectos de inversión que se han planificado, financiado y desarrollado de acuerdo con las necesidades identificadas en los planes de expansión en Generación, Transmisión y Control y Distribución de Electricidad de Costa Rica, para mantener niveles adecuados de calidad, confiabilidad, seguridad y continuidad del abastecimiento de electricidad que demandan los distintos sectores de consumo de Costa Rica, a base de recursos naturales renovables y bajo el concepto de mínimo costo. Cada acción ha sido enfocada de manera sustentable y sostenible, llevando no solo a financiar y a desarrollar proyectos de inversión electroenergéticos y de infocomunicaciones en los distintos territorios de Costa Rica, sino también a proyectar nacional e internacionalmente al Instituto por la aplicación de las buenas prácticas de responsabilidad ambiental y social.</w:t>
      </w:r>
    </w:p>
    <w:p w14:paraId="257FBF63" w14:textId="77777777" w:rsidR="00413986" w:rsidRDefault="00413986" w:rsidP="002817B6">
      <w:pPr>
        <w:rPr>
          <w:rFonts w:ascii="Arial" w:hAnsi="Arial" w:cs="Arial"/>
          <w:sz w:val="20"/>
        </w:rPr>
      </w:pPr>
    </w:p>
    <w:p w14:paraId="4A53EABC" w14:textId="30DDF9EE" w:rsidR="002817B6" w:rsidRDefault="002817B6" w:rsidP="002817B6">
      <w:pPr>
        <w:rPr>
          <w:rFonts w:ascii="Arial" w:hAnsi="Arial" w:cs="Arial"/>
          <w:sz w:val="20"/>
        </w:rPr>
      </w:pPr>
      <w:r>
        <w:rPr>
          <w:rFonts w:ascii="Arial" w:hAnsi="Arial" w:cs="Arial"/>
          <w:sz w:val="20"/>
        </w:rPr>
        <w:t>Esta filosofía se reiteró en el año 2018 con la aprobación de la Estrategia Corporativa 4.0 2019 - 2023 del Grupo ICE, donde se formalizaron cinco lineamientos estratégicos, con la sostenibilidad como un eje transversal, cuyo objetivo era fomentar la creación de valor, implementando un modelo integral de sostenibilidad basado en los Objetivos de Desarrollo Sostenible y las mejores prácticas internacionales de gestión y reporte.</w:t>
      </w:r>
    </w:p>
    <w:p w14:paraId="4EC9E572" w14:textId="77777777" w:rsidR="00413986" w:rsidRDefault="00413986" w:rsidP="002817B6">
      <w:pPr>
        <w:rPr>
          <w:rFonts w:ascii="Arial" w:hAnsi="Arial" w:cs="Arial"/>
          <w:sz w:val="20"/>
        </w:rPr>
      </w:pPr>
    </w:p>
    <w:p w14:paraId="2A06864F" w14:textId="77777777" w:rsidR="00413986" w:rsidRDefault="002817B6" w:rsidP="002817B6">
      <w:pPr>
        <w:rPr>
          <w:rFonts w:ascii="Arial" w:hAnsi="Arial" w:cs="Arial"/>
          <w:sz w:val="20"/>
        </w:rPr>
      </w:pPr>
      <w:r>
        <w:rPr>
          <w:rFonts w:ascii="Arial" w:hAnsi="Arial" w:cs="Arial"/>
          <w:sz w:val="20"/>
        </w:rPr>
        <w:t>El ICE contribuye de manera activa al cumplimiento de las metas del Plan Nacional de Descarbonización 2018-2030, destacando los siguientes resultados al año 2020: 99,8 % de renovabilidad; 28 sitios con sello Carbono Neutral; entrega de 195 sellos de renovabilidad a empresas interesadas; desde el año 1998 a la fecha se han instalado 5,130 paneles solares en zonas alejadas del sistema interconectado; instalación de 28 cargadores super-rápidos de 120 kW; 10 cargadores rápidos de 50 kW; instalación de cargadores semi-rápidos (36 de 14 kW y 3 de 7 kW) para Vehículos Eléctricos a nivel del área de concesión del ICE4 ; 11,067 plantillas de inducción residenciales y 57 plantillas de inducción industriales vendidas; y la instalación de 308 000 medidores Advance Metering Infraestructure (AMI).  Por su parte, el Sector Electricidad del ICE dispone de una política y lineamientos ambientales que promueven la conservación y desarrollo sostenible de los recursos naturales, con un enfoque de prevención, responsabilidad, eficiencia y mejora continua en su gestión ambiental. Lo anterior se concreta en su modelo de sostenibilidad social y ambiental, cuyos temas materiales se sustentan en lo siguiente: la gestión ambiental, protección a la biodiversidad, cambio climático, derechos humanos, prácticas laborares y gestión del territorio.</w:t>
      </w:r>
    </w:p>
    <w:p w14:paraId="1061079D" w14:textId="327412EB" w:rsidR="002817B6" w:rsidRDefault="002817B6" w:rsidP="002817B6">
      <w:pPr>
        <w:rPr>
          <w:rFonts w:ascii="Arial" w:hAnsi="Arial" w:cs="Arial"/>
          <w:sz w:val="20"/>
        </w:rPr>
      </w:pPr>
      <w:r>
        <w:rPr>
          <w:rFonts w:ascii="Arial" w:hAnsi="Arial" w:cs="Arial"/>
          <w:sz w:val="20"/>
        </w:rPr>
        <w:t xml:space="preserve"> </w:t>
      </w:r>
    </w:p>
    <w:p w14:paraId="756DD94A" w14:textId="77777777" w:rsidR="002817B6" w:rsidRDefault="002817B6" w:rsidP="002817B6">
      <w:pPr>
        <w:rPr>
          <w:rFonts w:ascii="Arial" w:hAnsi="Arial" w:cs="Arial"/>
          <w:sz w:val="20"/>
        </w:rPr>
      </w:pPr>
      <w:r>
        <w:rPr>
          <w:rFonts w:ascii="Arial" w:hAnsi="Arial" w:cs="Arial"/>
          <w:sz w:val="20"/>
        </w:rPr>
        <w:t>La Gerencia de Electricidad dispone de un Sistema Integrado de Gestión (SIG) con alcance a todas sus divisiones y direcciones. En el caso de las plantas de generación eléctrica, cuentan con la triple certificación (Calidad, Salud y Ambiente), así como con el sello de Carbono Inventario del Programa Carbono Neutralidad 2.0 y recientemente forman parte del programa de carbono reducción, en el que se incluye la Planta Hidroeléctrica Reventazón (PHR).</w:t>
      </w:r>
    </w:p>
    <w:p w14:paraId="1235E21F" w14:textId="77777777" w:rsidR="002817B6" w:rsidRDefault="002817B6" w:rsidP="002817B6">
      <w:pPr>
        <w:rPr>
          <w:rFonts w:ascii="Arial" w:hAnsi="Arial" w:cs="Arial"/>
          <w:b/>
          <w:bCs/>
          <w:sz w:val="20"/>
        </w:rPr>
      </w:pPr>
    </w:p>
    <w:p w14:paraId="38308B04" w14:textId="77777777" w:rsidR="002817B6" w:rsidRDefault="002817B6" w:rsidP="002817B6">
      <w:pPr>
        <w:rPr>
          <w:rFonts w:ascii="Arial" w:hAnsi="Arial" w:cs="Arial"/>
          <w:b/>
          <w:bCs/>
          <w:sz w:val="20"/>
        </w:rPr>
      </w:pPr>
      <w:r>
        <w:rPr>
          <w:rFonts w:ascii="Arial" w:hAnsi="Arial" w:cs="Arial"/>
          <w:b/>
          <w:bCs/>
          <w:sz w:val="20"/>
        </w:rPr>
        <w:t>LA PLANTA HIDROELÉCTRICA DE REVENTAZÓN Y SUS CREDENCIALES DE SOSTENIBILIDAD</w:t>
      </w:r>
    </w:p>
    <w:p w14:paraId="6227E0C7" w14:textId="77777777" w:rsidR="00413986" w:rsidRDefault="00413986" w:rsidP="002817B6">
      <w:pPr>
        <w:rPr>
          <w:rFonts w:ascii="Arial" w:hAnsi="Arial" w:cs="Arial"/>
          <w:sz w:val="20"/>
        </w:rPr>
      </w:pPr>
    </w:p>
    <w:p w14:paraId="3951E46E" w14:textId="575B3C5F" w:rsidR="002817B6" w:rsidRDefault="002817B6" w:rsidP="002817B6">
      <w:pPr>
        <w:rPr>
          <w:rFonts w:ascii="Arial" w:hAnsi="Arial" w:cs="Arial"/>
          <w:sz w:val="20"/>
        </w:rPr>
      </w:pPr>
      <w:r>
        <w:rPr>
          <w:rFonts w:ascii="Arial" w:hAnsi="Arial" w:cs="Arial"/>
          <w:sz w:val="20"/>
        </w:rPr>
        <w:t>La PHR se localiza en la cuenca media baja del río Reventazón, en la provincia de Limón, en el cantón de Siquirres y los distritos de La Florida y Siquirres. Cuenta con un embalse de 7 km2, posee una capacidad de generación de 305.5 MW y su promedio de generación anual es de 1 465 GWh/año. Posee cuatro turbinas tipo Francis de 73 MW cada una y una central de compensación ecológica que genera otros 13,5 MW. Opera todo el año.  La PHR aporta aproximadamente el 15% del total de la capacidad de generación eléctrica del país, lo cual podría abastecer al 36% de los hogares costarricenses dejando claro su aporte e importancia para el país y su estrategia nacional de descarbonización.</w:t>
      </w:r>
    </w:p>
    <w:p w14:paraId="3C6619BE" w14:textId="77777777" w:rsidR="00C17526" w:rsidRDefault="00C17526" w:rsidP="002817B6">
      <w:pPr>
        <w:rPr>
          <w:rFonts w:ascii="Arial" w:hAnsi="Arial" w:cs="Arial"/>
          <w:sz w:val="20"/>
        </w:rPr>
      </w:pPr>
    </w:p>
    <w:p w14:paraId="004E0701" w14:textId="77777777" w:rsidR="00C17526" w:rsidRDefault="002817B6" w:rsidP="002817B6">
      <w:pPr>
        <w:rPr>
          <w:rFonts w:ascii="Arial" w:hAnsi="Arial" w:cs="Arial"/>
          <w:sz w:val="20"/>
        </w:rPr>
      </w:pPr>
      <w:r>
        <w:rPr>
          <w:rFonts w:ascii="Arial" w:hAnsi="Arial" w:cs="Arial"/>
          <w:sz w:val="20"/>
        </w:rPr>
        <w:t xml:space="preserve">La PHR es consistente con la política energética del Gobierno de Costa Rica (GCR) emitida en 2010 por el Ministerio de Ambiente, Energía y Telecomunicaciones (MINAET) “Hacia un nuevo modelo energético para nuestro país”, la cual mantiene la promoción al uso de energías limpias y se concentra en la promoción de la eficiencia energética, la reorientación de las instituciones del sector para hacerlas más competitivas y prevé que el ICE continúe con su rol de agente estratégico del sector. Asimismo, es un activo clave para el mantenimiento de los índices de energía renovable de ICE, así como su contexto de sostenibilidad. </w:t>
      </w:r>
    </w:p>
    <w:p w14:paraId="15B530D9" w14:textId="1EFD8E6F" w:rsidR="002817B6" w:rsidRDefault="002817B6" w:rsidP="002817B6">
      <w:pPr>
        <w:rPr>
          <w:rFonts w:ascii="Arial" w:hAnsi="Arial" w:cs="Arial"/>
          <w:sz w:val="20"/>
        </w:rPr>
      </w:pPr>
      <w:r>
        <w:rPr>
          <w:rFonts w:ascii="Arial" w:hAnsi="Arial" w:cs="Arial"/>
          <w:sz w:val="20"/>
        </w:rPr>
        <w:t xml:space="preserve"> </w:t>
      </w:r>
    </w:p>
    <w:p w14:paraId="631FA2FC" w14:textId="0F59F6DF" w:rsidR="002817B6" w:rsidRDefault="002817B6" w:rsidP="002817B6">
      <w:pPr>
        <w:rPr>
          <w:rFonts w:ascii="Arial" w:hAnsi="Arial" w:cs="Arial"/>
          <w:sz w:val="20"/>
        </w:rPr>
      </w:pPr>
      <w:r>
        <w:rPr>
          <w:rFonts w:ascii="Arial" w:hAnsi="Arial" w:cs="Arial"/>
          <w:sz w:val="20"/>
        </w:rPr>
        <w:t>Previo a su construcción, el Proyecto Hidroeléctrico Reventazón contó con un Estudio de Impacto Ambiental (EsIA) según lo requerido por la legislación costarricense para obras clasificadas como megaproyectos.  El documento incluyó el Plan de Gestión Ambiental con sus acciones y medidas de control para la etapa constructiva y operativa. Tras su revisión, se le otorgó la Viabilidad Ambiental mediante la Resolución Nº 1776-2009-SETENA.</w:t>
      </w:r>
    </w:p>
    <w:p w14:paraId="096086D5" w14:textId="77777777" w:rsidR="00C17526" w:rsidRDefault="00C17526" w:rsidP="002817B6">
      <w:pPr>
        <w:rPr>
          <w:rFonts w:ascii="Arial" w:hAnsi="Arial" w:cs="Arial"/>
          <w:sz w:val="20"/>
        </w:rPr>
      </w:pPr>
    </w:p>
    <w:p w14:paraId="4FBC998D" w14:textId="3502D31E" w:rsidR="002817B6" w:rsidRDefault="002817B6" w:rsidP="002817B6">
      <w:pPr>
        <w:rPr>
          <w:rFonts w:ascii="Arial" w:hAnsi="Arial" w:cs="Arial"/>
          <w:sz w:val="20"/>
        </w:rPr>
      </w:pPr>
      <w:r>
        <w:rPr>
          <w:rFonts w:ascii="Arial" w:hAnsi="Arial" w:cs="Arial"/>
          <w:sz w:val="20"/>
        </w:rPr>
        <w:t>Además, en el año 2017, estando en operación comercial, se realizó una evaluación del nivel de implementación del Protocolo de Evaluación de la Sostenibilidad de la Hidroelectricidad en la PHR, durante la fase constructiva. Los resultados mostraron cumplimiento con los criterios de evaluación de los 19 temas evaluados. Durante esta evaluación se obtuvo una calificación de “mejores prácticas” en cinco de estos criterios: consultas y comunicaciones; reasentamiento; salud pública; biodiversidad y especies invasoras; y residuos, calidad del aire y ruido. Como resultado, el proyecto fue acreedor del Blue Planet Prize, dado por la International Hydropower Association (IHA) www.hydropower.org en el año 2019.</w:t>
      </w:r>
    </w:p>
    <w:p w14:paraId="4869E896" w14:textId="77777777" w:rsidR="00C17526" w:rsidRDefault="00C17526" w:rsidP="002817B6">
      <w:pPr>
        <w:rPr>
          <w:rFonts w:ascii="Arial" w:hAnsi="Arial" w:cs="Arial"/>
          <w:sz w:val="20"/>
        </w:rPr>
      </w:pPr>
    </w:p>
    <w:p w14:paraId="115BA7AB" w14:textId="285550EC" w:rsidR="002817B6" w:rsidRDefault="002817B6" w:rsidP="002817B6">
      <w:pPr>
        <w:rPr>
          <w:rFonts w:ascii="Arial" w:hAnsi="Arial" w:cs="Arial"/>
          <w:sz w:val="20"/>
        </w:rPr>
      </w:pPr>
      <w:r>
        <w:rPr>
          <w:rFonts w:ascii="Arial" w:hAnsi="Arial" w:cs="Arial"/>
          <w:sz w:val="20"/>
        </w:rPr>
        <w:t>A partir de noviembre de 2016 la PHR se encuentra en operación comercial y dispone de un Plan de Gestión Ambiental y Social (PGAS-O), que contempla la ejecución de varios programas vinculados a temas ambientales, sociales y de gobernanza. Este plan se encuentra bajo un proceso de supervisión, tanto por los equipos de salvaguardas ambientales y sociales del Banco Interamericano de Desarrollo (BID), del BID Invest, del Banco Europeo de Inversiones (BEI), del Banco Centroamericano de Integración Económica (BCIE), del IFC del Banco Mundial y también por un equipo Consultor Ambiental y Social Independiente (CASI).</w:t>
      </w:r>
    </w:p>
    <w:p w14:paraId="6C0E3178" w14:textId="77777777" w:rsidR="00C17526" w:rsidRDefault="00C17526" w:rsidP="002817B6">
      <w:pPr>
        <w:rPr>
          <w:rFonts w:ascii="Arial" w:hAnsi="Arial" w:cs="Arial"/>
          <w:sz w:val="20"/>
        </w:rPr>
      </w:pPr>
    </w:p>
    <w:p w14:paraId="043BFEC0" w14:textId="2A3743A8" w:rsidR="002817B6" w:rsidRDefault="002817B6" w:rsidP="002817B6">
      <w:pPr>
        <w:rPr>
          <w:rFonts w:ascii="Arial" w:hAnsi="Arial" w:cs="Arial"/>
          <w:sz w:val="20"/>
        </w:rPr>
      </w:pPr>
      <w:r>
        <w:rPr>
          <w:rFonts w:ascii="Arial" w:hAnsi="Arial" w:cs="Arial"/>
          <w:sz w:val="20"/>
        </w:rPr>
        <w:t>Como parte del proceso de rendición de cuentas, grupos técnicos especializados del ICE preparan informes anuales de la PHR, para los distintos órganos de supervisión internacionales, incluidos los citados bancos internacionales y nacionales, donde se brindan detalles sobre el avance del cumplimiento de las actividades establecidas en el PGAS-O.</w:t>
      </w:r>
    </w:p>
    <w:p w14:paraId="252B3FE7" w14:textId="77777777" w:rsidR="00C17526" w:rsidRDefault="00C17526" w:rsidP="002817B6">
      <w:pPr>
        <w:rPr>
          <w:rFonts w:ascii="Arial" w:hAnsi="Arial" w:cs="Arial"/>
          <w:sz w:val="20"/>
        </w:rPr>
      </w:pPr>
    </w:p>
    <w:p w14:paraId="0CA8C500" w14:textId="77777777" w:rsidR="002817B6" w:rsidRDefault="002817B6" w:rsidP="002817B6">
      <w:pPr>
        <w:rPr>
          <w:rFonts w:ascii="Arial" w:hAnsi="Arial" w:cs="Arial"/>
          <w:sz w:val="20"/>
        </w:rPr>
      </w:pPr>
      <w:r>
        <w:rPr>
          <w:rFonts w:ascii="Arial" w:hAnsi="Arial" w:cs="Arial"/>
          <w:sz w:val="20"/>
        </w:rPr>
        <w:t xml:space="preserve">En el contexto de sus convicciones y políticas de sostenibilidad, el ICE ha contratado en 2021 los servicios especializados de la firma Futuris Consulting, para desarrollar un Marco de Gestión con el propósito de valorar y evaluar los logros alcanzados por el Instituto Costarricense de Electricidad (ICE) en materia ambiental y social de la Planta Hidroeléctrica Reventazón de 305,5 MW, que permitan ir adelante con un Bono Verde independiente. Esta evaluación respaldaría la emisión de un bono verde en colones en el mercado bursátil costarricense, con el fin de levantar recursos sostenibles para proceder con el refinanciamiento de una porción de la deuda incurrida por el ICE en relación con la construcción de la PHR.  </w:t>
      </w:r>
    </w:p>
    <w:p w14:paraId="61B0B67E" w14:textId="77777777" w:rsidR="00C17526" w:rsidRDefault="002817B6" w:rsidP="002817B6">
      <w:pPr>
        <w:rPr>
          <w:rFonts w:ascii="Arial" w:hAnsi="Arial" w:cs="Arial"/>
          <w:sz w:val="20"/>
        </w:rPr>
      </w:pPr>
      <w:r>
        <w:rPr>
          <w:rFonts w:ascii="Arial" w:hAnsi="Arial" w:cs="Arial"/>
          <w:sz w:val="20"/>
        </w:rPr>
        <w:t xml:space="preserve">El marco de gestión busca proporcionar transparencia a los criterios y sistemas establecidos para el uso y la gestión de los fondos siguiendo los Principios de Bonos Verdes de ICMA (por sus siglas en inglés, de International Capital Market Association) que también son compatibles con el estándar para la emisión de bonos verdes, de la Bolsa Nacional de Valores de Costa Rica. </w:t>
      </w:r>
    </w:p>
    <w:p w14:paraId="419A3BC9" w14:textId="2C37547B" w:rsidR="002817B6" w:rsidRDefault="002817B6" w:rsidP="002817B6">
      <w:pPr>
        <w:rPr>
          <w:rFonts w:ascii="Arial" w:hAnsi="Arial" w:cs="Arial"/>
          <w:sz w:val="20"/>
        </w:rPr>
      </w:pPr>
      <w:r>
        <w:rPr>
          <w:rFonts w:ascii="Arial" w:hAnsi="Arial" w:cs="Arial"/>
          <w:sz w:val="20"/>
        </w:rPr>
        <w:t xml:space="preserve"> </w:t>
      </w:r>
    </w:p>
    <w:p w14:paraId="54F45CFE" w14:textId="44DF82C1" w:rsidR="002817B6" w:rsidRDefault="002817B6" w:rsidP="002817B6">
      <w:pPr>
        <w:rPr>
          <w:rFonts w:ascii="Arial" w:hAnsi="Arial" w:cs="Arial"/>
          <w:sz w:val="20"/>
        </w:rPr>
      </w:pPr>
      <w:r>
        <w:rPr>
          <w:rFonts w:ascii="Arial" w:hAnsi="Arial" w:cs="Arial"/>
          <w:sz w:val="20"/>
        </w:rPr>
        <w:t>En cumplimiento con dichos Principios, el Marco se ha elaborado tomando en cuenta sus cuatro componentes claves:</w:t>
      </w:r>
    </w:p>
    <w:p w14:paraId="4DA809D8" w14:textId="77777777" w:rsidR="00C17526" w:rsidRDefault="00C17526" w:rsidP="002817B6">
      <w:pPr>
        <w:rPr>
          <w:rFonts w:ascii="Arial" w:hAnsi="Arial" w:cs="Arial"/>
          <w:sz w:val="20"/>
        </w:rPr>
      </w:pPr>
    </w:p>
    <w:p w14:paraId="3DA06759" w14:textId="77777777" w:rsidR="002817B6" w:rsidRDefault="002817B6" w:rsidP="002817B6">
      <w:pPr>
        <w:rPr>
          <w:rFonts w:ascii="Arial" w:hAnsi="Arial" w:cs="Arial"/>
          <w:sz w:val="20"/>
        </w:rPr>
      </w:pPr>
      <w:r>
        <w:rPr>
          <w:rFonts w:ascii="Arial" w:hAnsi="Arial" w:cs="Arial"/>
          <w:sz w:val="20"/>
        </w:rPr>
        <w:t>1.</w:t>
      </w:r>
      <w:r>
        <w:rPr>
          <w:rFonts w:ascii="Arial" w:hAnsi="Arial" w:cs="Arial"/>
          <w:sz w:val="20"/>
        </w:rPr>
        <w:tab/>
        <w:t>Uso de los fondos</w:t>
      </w:r>
    </w:p>
    <w:p w14:paraId="4DA98A76" w14:textId="77777777" w:rsidR="002817B6" w:rsidRDefault="002817B6" w:rsidP="002817B6">
      <w:pPr>
        <w:rPr>
          <w:rFonts w:ascii="Arial" w:hAnsi="Arial" w:cs="Arial"/>
          <w:sz w:val="20"/>
        </w:rPr>
      </w:pPr>
      <w:r>
        <w:rPr>
          <w:rFonts w:ascii="Arial" w:hAnsi="Arial" w:cs="Arial"/>
          <w:sz w:val="20"/>
        </w:rPr>
        <w:t>2.</w:t>
      </w:r>
      <w:r>
        <w:rPr>
          <w:rFonts w:ascii="Arial" w:hAnsi="Arial" w:cs="Arial"/>
          <w:sz w:val="20"/>
        </w:rPr>
        <w:tab/>
        <w:t>Proceso de evaluación y selección de proyectos</w:t>
      </w:r>
    </w:p>
    <w:p w14:paraId="7C31B57E" w14:textId="77777777" w:rsidR="002817B6" w:rsidRDefault="002817B6" w:rsidP="002817B6">
      <w:pPr>
        <w:rPr>
          <w:rFonts w:ascii="Arial" w:hAnsi="Arial" w:cs="Arial"/>
          <w:sz w:val="20"/>
        </w:rPr>
      </w:pPr>
      <w:r>
        <w:rPr>
          <w:rFonts w:ascii="Arial" w:hAnsi="Arial" w:cs="Arial"/>
          <w:sz w:val="20"/>
        </w:rPr>
        <w:t>3.</w:t>
      </w:r>
      <w:r>
        <w:rPr>
          <w:rFonts w:ascii="Arial" w:hAnsi="Arial" w:cs="Arial"/>
          <w:sz w:val="20"/>
        </w:rPr>
        <w:tab/>
        <w:t>Gestión de los fondos</w:t>
      </w:r>
    </w:p>
    <w:p w14:paraId="1A0CA0CE" w14:textId="77777777" w:rsidR="002817B6" w:rsidRDefault="002817B6" w:rsidP="002817B6">
      <w:pPr>
        <w:rPr>
          <w:rFonts w:ascii="Arial" w:hAnsi="Arial" w:cs="Arial"/>
          <w:sz w:val="20"/>
        </w:rPr>
      </w:pPr>
      <w:r>
        <w:rPr>
          <w:rFonts w:ascii="Arial" w:hAnsi="Arial" w:cs="Arial"/>
          <w:sz w:val="20"/>
        </w:rPr>
        <w:t>4.</w:t>
      </w:r>
      <w:r>
        <w:rPr>
          <w:rFonts w:ascii="Arial" w:hAnsi="Arial" w:cs="Arial"/>
          <w:sz w:val="20"/>
        </w:rPr>
        <w:tab/>
        <w:t>Publicación de informes</w:t>
      </w:r>
    </w:p>
    <w:p w14:paraId="7181C664" w14:textId="77777777" w:rsidR="002817B6" w:rsidRDefault="002817B6" w:rsidP="002817B6">
      <w:pPr>
        <w:rPr>
          <w:rFonts w:ascii="Arial" w:hAnsi="Arial" w:cs="Arial"/>
          <w:sz w:val="20"/>
        </w:rPr>
      </w:pPr>
    </w:p>
    <w:p w14:paraId="1AA4D614" w14:textId="77777777" w:rsidR="002817B6" w:rsidRPr="00EE31B1" w:rsidRDefault="002817B6" w:rsidP="002817B6">
      <w:pPr>
        <w:pStyle w:val="Ttulo4"/>
        <w:rPr>
          <w:rFonts w:ascii="Arial" w:hAnsi="Arial"/>
          <w:sz w:val="20"/>
        </w:rPr>
      </w:pPr>
      <w:r w:rsidRPr="00EE31B1">
        <w:rPr>
          <w:rFonts w:ascii="Arial" w:hAnsi="Arial" w:cs="Arial"/>
          <w:sz w:val="20"/>
        </w:rPr>
        <w:t xml:space="preserve">1. </w:t>
      </w:r>
      <w:r w:rsidRPr="00EE31B1">
        <w:rPr>
          <w:rFonts w:ascii="Arial" w:hAnsi="Arial"/>
          <w:sz w:val="20"/>
        </w:rPr>
        <w:t xml:space="preserve">Uso de los fondos </w:t>
      </w:r>
    </w:p>
    <w:p w14:paraId="40B57889" w14:textId="77777777" w:rsidR="002817B6" w:rsidRDefault="002817B6" w:rsidP="002817B6">
      <w:pPr>
        <w:pStyle w:val="Body"/>
      </w:pPr>
    </w:p>
    <w:p w14:paraId="0CDDED40" w14:textId="2F02BBC4" w:rsidR="002817B6" w:rsidRDefault="002817B6" w:rsidP="002817B6">
      <w:pPr>
        <w:pStyle w:val="Body"/>
        <w:rPr>
          <w:sz w:val="20"/>
          <w:szCs w:val="22"/>
        </w:rPr>
      </w:pPr>
      <w:r>
        <w:rPr>
          <w:sz w:val="20"/>
          <w:szCs w:val="22"/>
        </w:rPr>
        <w:t xml:space="preserve">Los ingresos netos del bono verde se utilizarán exclusivamente para refinanciar una porción de la deuda existente en relación con la construcción </w:t>
      </w:r>
      <w:r w:rsidR="00413986">
        <w:rPr>
          <w:sz w:val="20"/>
          <w:szCs w:val="22"/>
        </w:rPr>
        <w:t xml:space="preserve">de </w:t>
      </w:r>
      <w:r>
        <w:rPr>
          <w:sz w:val="20"/>
          <w:szCs w:val="22"/>
        </w:rPr>
        <w:t xml:space="preserve">la PHR.  En particular, para la cancelación parcial del Eurobono emitido por el ICE. </w:t>
      </w:r>
    </w:p>
    <w:p w14:paraId="6E8C1295" w14:textId="759CB8A8" w:rsidR="002817B6" w:rsidRDefault="002817B6" w:rsidP="00CD40B2">
      <w:pPr>
        <w:autoSpaceDE w:val="0"/>
        <w:autoSpaceDN w:val="0"/>
        <w:adjustRightInd w:val="0"/>
        <w:rPr>
          <w:rFonts w:ascii="Arial" w:eastAsia="Batang" w:hAnsi="Arial" w:cs="Arial"/>
          <w:b/>
          <w:bCs/>
          <w:sz w:val="20"/>
          <w:szCs w:val="20"/>
          <w:lang w:val="es-ES" w:eastAsia="es-ES"/>
        </w:rPr>
      </w:pPr>
      <w:r>
        <w:rPr>
          <w:rFonts w:ascii="Arial" w:eastAsia="ヒラギノ角ゴ Pro W3" w:hAnsi="Arial" w:cs="Arial"/>
          <w:sz w:val="20"/>
          <w:szCs w:val="22"/>
          <w:lang w:val="es-ES_tradnl" w:eastAsia="en-US"/>
        </w:rPr>
        <w:t xml:space="preserve">El </w:t>
      </w:r>
      <w:r w:rsidR="00413986">
        <w:rPr>
          <w:rFonts w:ascii="Arial" w:eastAsia="ヒラギノ角ゴ Pro W3" w:hAnsi="Arial" w:cs="Arial"/>
          <w:sz w:val="20"/>
          <w:szCs w:val="22"/>
          <w:lang w:val="es-ES_tradnl" w:eastAsia="en-US"/>
        </w:rPr>
        <w:t xml:space="preserve">citado </w:t>
      </w:r>
      <w:r>
        <w:rPr>
          <w:rFonts w:ascii="Arial" w:eastAsia="ヒラギノ角ゴ Pro W3" w:hAnsi="Arial" w:cs="Arial"/>
          <w:sz w:val="20"/>
          <w:szCs w:val="22"/>
          <w:lang w:val="es-ES_tradnl" w:eastAsia="en-US"/>
        </w:rPr>
        <w:t xml:space="preserve">refinanciamiento de la PHR, </w:t>
      </w:r>
      <w:r w:rsidR="00413986">
        <w:rPr>
          <w:rFonts w:ascii="Arial" w:eastAsia="ヒラギノ角ゴ Pro W3" w:hAnsi="Arial" w:cs="Arial"/>
          <w:sz w:val="20"/>
          <w:szCs w:val="22"/>
          <w:lang w:val="es-ES_tradnl" w:eastAsia="en-US"/>
        </w:rPr>
        <w:t xml:space="preserve">es </w:t>
      </w:r>
      <w:r>
        <w:rPr>
          <w:rFonts w:ascii="Arial" w:eastAsia="ヒラギノ角ゴ Pro W3" w:hAnsi="Arial" w:cs="Arial"/>
          <w:sz w:val="20"/>
          <w:szCs w:val="22"/>
          <w:lang w:val="es-ES_tradnl" w:eastAsia="en-US"/>
        </w:rPr>
        <w:t xml:space="preserve">por un monto equivalente en colones de hasta </w:t>
      </w:r>
      <w:r w:rsidR="00C4260B">
        <w:rPr>
          <w:rFonts w:ascii="Arial" w:eastAsia="ヒラギノ角ゴ Pro W3" w:hAnsi="Arial" w:cs="Arial"/>
          <w:sz w:val="20"/>
          <w:szCs w:val="22"/>
          <w:lang w:val="es-ES_tradnl" w:eastAsia="en-US"/>
        </w:rPr>
        <w:t>¢30.000.000.000.</w:t>
      </w:r>
      <w:r>
        <w:rPr>
          <w:rFonts w:ascii="Arial" w:eastAsia="ヒラギノ角ゴ Pro W3" w:hAnsi="Arial" w:cs="Arial"/>
          <w:sz w:val="20"/>
          <w:szCs w:val="22"/>
          <w:lang w:val="es-ES_tradnl" w:eastAsia="en-US"/>
        </w:rPr>
        <w:t xml:space="preserve"> </w:t>
      </w:r>
    </w:p>
    <w:p w14:paraId="0EB1DABD" w14:textId="77777777" w:rsidR="002817B6" w:rsidRDefault="002817B6" w:rsidP="002817B6">
      <w:pPr>
        <w:spacing w:line="256" w:lineRule="auto"/>
        <w:rPr>
          <w:rFonts w:ascii="Arial" w:hAnsi="Arial" w:cs="Arial"/>
          <w:b/>
          <w:bCs/>
          <w:sz w:val="20"/>
        </w:rPr>
      </w:pPr>
    </w:p>
    <w:p w14:paraId="58213AD5" w14:textId="77777777" w:rsidR="002817B6" w:rsidRDefault="002817B6" w:rsidP="002817B6">
      <w:pPr>
        <w:spacing w:line="256" w:lineRule="auto"/>
        <w:rPr>
          <w:rFonts w:ascii="Arial" w:eastAsiaTheme="minorHAnsi" w:hAnsi="Arial" w:cs="Arial"/>
          <w:b/>
          <w:bCs/>
          <w:sz w:val="20"/>
        </w:rPr>
      </w:pPr>
      <w:r>
        <w:rPr>
          <w:rFonts w:ascii="Arial" w:hAnsi="Arial" w:cs="Arial"/>
          <w:b/>
          <w:bCs/>
          <w:sz w:val="20"/>
        </w:rPr>
        <w:t xml:space="preserve">2. </w:t>
      </w:r>
      <w:r>
        <w:rPr>
          <w:rFonts w:ascii="Arial" w:hAnsi="Arial"/>
          <w:b/>
          <w:sz w:val="20"/>
        </w:rPr>
        <w:t>Proceso de evaluación y selección de proyectos</w:t>
      </w:r>
      <w:r>
        <w:rPr>
          <w:rFonts w:ascii="Arial" w:eastAsiaTheme="minorHAnsi" w:hAnsi="Arial" w:cs="Arial"/>
          <w:b/>
          <w:bCs/>
          <w:sz w:val="20"/>
        </w:rPr>
        <w:tab/>
      </w:r>
    </w:p>
    <w:p w14:paraId="0DDAE3BC" w14:textId="77777777" w:rsidR="002817B6" w:rsidRDefault="002817B6" w:rsidP="002817B6">
      <w:pPr>
        <w:spacing w:after="160"/>
        <w:rPr>
          <w:rFonts w:ascii="Arial" w:eastAsiaTheme="minorHAnsi" w:hAnsi="Arial" w:cs="Arial"/>
          <w:b/>
          <w:bCs/>
          <w:sz w:val="20"/>
          <w:lang w:val="es-CR" w:eastAsia="en-US"/>
        </w:rPr>
      </w:pPr>
    </w:p>
    <w:p w14:paraId="215F5B6C" w14:textId="26E9C89D" w:rsidR="002817B6" w:rsidRDefault="002817B6" w:rsidP="002817B6">
      <w:pPr>
        <w:spacing w:after="160"/>
        <w:rPr>
          <w:rFonts w:ascii="Arial" w:eastAsia="ヒラギノ角ゴ Pro W3" w:hAnsi="Arial" w:cs="Arial"/>
          <w:sz w:val="20"/>
          <w:szCs w:val="22"/>
          <w:lang w:val="es-ES_tradnl" w:eastAsia="en-US"/>
        </w:rPr>
      </w:pPr>
      <w:r>
        <w:rPr>
          <w:rFonts w:ascii="Arial" w:eastAsia="ヒラギノ角ゴ Pro W3" w:hAnsi="Arial" w:cs="Arial"/>
          <w:sz w:val="20"/>
          <w:szCs w:val="22"/>
          <w:lang w:val="es-ES_tradnl" w:eastAsia="en-US"/>
        </w:rPr>
        <w:t xml:space="preserve">El proceso de selección en este caso es muy concreto ya que el Bono Verde se emitirá con el objetivo exclusivo de refinanciación de un solo </w:t>
      </w:r>
      <w:r w:rsidR="00C4260B">
        <w:rPr>
          <w:rFonts w:ascii="Arial" w:eastAsia="ヒラギノ角ゴ Pro W3" w:hAnsi="Arial" w:cs="Arial"/>
          <w:sz w:val="20"/>
          <w:szCs w:val="22"/>
          <w:lang w:val="es-ES_tradnl" w:eastAsia="en-US"/>
        </w:rPr>
        <w:t>activo verde en operación</w:t>
      </w:r>
      <w:r>
        <w:rPr>
          <w:rFonts w:ascii="Arial" w:eastAsia="ヒラギノ角ゴ Pro W3" w:hAnsi="Arial" w:cs="Arial"/>
          <w:sz w:val="20"/>
          <w:szCs w:val="22"/>
          <w:lang w:val="es-ES_tradnl" w:eastAsia="en-US"/>
        </w:rPr>
        <w:t xml:space="preserve">, la </w:t>
      </w:r>
      <w:r w:rsidR="00C4260B">
        <w:rPr>
          <w:rFonts w:ascii="Arial" w:eastAsia="ヒラギノ角ゴ Pro W3" w:hAnsi="Arial" w:cs="Arial"/>
          <w:sz w:val="20"/>
          <w:szCs w:val="22"/>
          <w:lang w:val="es-ES_tradnl" w:eastAsia="en-US"/>
        </w:rPr>
        <w:t>Planta Hidroeléctrica Reventazón (</w:t>
      </w:r>
      <w:r>
        <w:rPr>
          <w:rFonts w:ascii="Arial" w:eastAsia="ヒラギノ角ゴ Pro W3" w:hAnsi="Arial" w:cs="Arial"/>
          <w:sz w:val="20"/>
          <w:szCs w:val="22"/>
          <w:lang w:val="es-ES_tradnl" w:eastAsia="en-US"/>
        </w:rPr>
        <w:t>PHR</w:t>
      </w:r>
      <w:r w:rsidR="00C4260B">
        <w:rPr>
          <w:rFonts w:ascii="Arial" w:eastAsia="ヒラギノ角ゴ Pro W3" w:hAnsi="Arial" w:cs="Arial"/>
          <w:sz w:val="20"/>
          <w:szCs w:val="22"/>
          <w:lang w:val="es-ES_tradnl" w:eastAsia="en-US"/>
        </w:rPr>
        <w:t>)</w:t>
      </w:r>
      <w:r>
        <w:rPr>
          <w:rFonts w:ascii="Arial" w:eastAsia="ヒラギノ角ゴ Pro W3" w:hAnsi="Arial" w:cs="Arial"/>
          <w:sz w:val="20"/>
          <w:szCs w:val="22"/>
          <w:lang w:val="es-ES_tradnl" w:eastAsia="en-US"/>
        </w:rPr>
        <w:t xml:space="preserve">. Este Bono Verde se utilizará para la refinanciación de bonos ya existentes (eurobonos), que representan el </w:t>
      </w:r>
      <w:r w:rsidR="00C4260B">
        <w:rPr>
          <w:rFonts w:ascii="Arial" w:eastAsia="ヒラギノ角ゴ Pro W3" w:hAnsi="Arial" w:cs="Arial"/>
          <w:sz w:val="20"/>
          <w:szCs w:val="22"/>
          <w:lang w:val="es-ES_tradnl" w:eastAsia="en-US"/>
        </w:rPr>
        <w:t>3.4</w:t>
      </w:r>
      <w:r>
        <w:rPr>
          <w:rFonts w:ascii="Arial" w:eastAsia="ヒラギノ角ゴ Pro W3" w:hAnsi="Arial" w:cs="Arial"/>
          <w:sz w:val="20"/>
          <w:szCs w:val="22"/>
          <w:lang w:val="es-ES_tradnl" w:eastAsia="en-US"/>
        </w:rPr>
        <w:t xml:space="preserve">% </w:t>
      </w:r>
      <w:r w:rsidR="00C4260B">
        <w:rPr>
          <w:rFonts w:ascii="Arial" w:eastAsia="ヒラギノ角ゴ Pro W3" w:hAnsi="Arial" w:cs="Arial"/>
          <w:sz w:val="20"/>
          <w:szCs w:val="22"/>
          <w:lang w:val="es-ES_tradnl" w:eastAsia="en-US"/>
        </w:rPr>
        <w:t xml:space="preserve">(aproximadamente 47.5 millones de dólares o su equivalente en colones) </w:t>
      </w:r>
      <w:r>
        <w:rPr>
          <w:rFonts w:ascii="Arial" w:eastAsia="ヒラギノ角ゴ Pro W3" w:hAnsi="Arial" w:cs="Arial"/>
          <w:sz w:val="20"/>
          <w:szCs w:val="22"/>
          <w:lang w:val="es-ES_tradnl" w:eastAsia="en-US"/>
        </w:rPr>
        <w:t xml:space="preserve">del costo total de financiamiento de la PHR.  </w:t>
      </w:r>
      <w:r w:rsidR="00C4260B">
        <w:rPr>
          <w:rFonts w:ascii="Arial" w:eastAsia="ヒラギノ角ゴ Pro W3" w:hAnsi="Arial" w:cs="Arial"/>
          <w:sz w:val="20"/>
          <w:szCs w:val="22"/>
          <w:lang w:val="es-ES_tradnl" w:eastAsia="en-US"/>
        </w:rPr>
        <w:t>L</w:t>
      </w:r>
      <w:r>
        <w:rPr>
          <w:rFonts w:ascii="Arial" w:eastAsia="ヒラギノ角ゴ Pro W3" w:hAnsi="Arial" w:cs="Arial"/>
          <w:sz w:val="20"/>
          <w:szCs w:val="22"/>
          <w:lang w:val="es-ES_tradnl" w:eastAsia="en-US"/>
        </w:rPr>
        <w:t>a PHR cumple con los criterios de elegibilidad seleccionados para la categorización de la planta como Proyecto Verde.</w:t>
      </w:r>
    </w:p>
    <w:p w14:paraId="6B3ADD0C" w14:textId="77777777" w:rsidR="00C4260B" w:rsidRDefault="00C4260B" w:rsidP="00C4260B">
      <w:pPr>
        <w:autoSpaceDE w:val="0"/>
        <w:autoSpaceDN w:val="0"/>
        <w:adjustRightInd w:val="0"/>
        <w:rPr>
          <w:rFonts w:ascii="Arial" w:eastAsia="ヒラギノ角ゴ Pro W3" w:hAnsi="Arial" w:cs="Arial"/>
          <w:sz w:val="20"/>
          <w:szCs w:val="22"/>
          <w:lang w:val="es-ES_tradnl" w:eastAsia="en-US"/>
        </w:rPr>
      </w:pPr>
      <w:r>
        <w:rPr>
          <w:rFonts w:ascii="Arial" w:hAnsi="Arial" w:cs="Arial"/>
          <w:sz w:val="20"/>
        </w:rPr>
        <w:t xml:space="preserve">La PHR </w:t>
      </w:r>
      <w:r>
        <w:rPr>
          <w:rFonts w:ascii="Arial" w:eastAsia="ヒラギノ角ゴ Pro W3" w:hAnsi="Arial" w:cs="Arial"/>
          <w:sz w:val="20"/>
          <w:szCs w:val="22"/>
          <w:lang w:val="es-ES_tradnl" w:eastAsia="en-US"/>
        </w:rPr>
        <w:t>contribuye de forma directa con Objetivos de Desarrollo Sostenible de Naciones Unidas ("ODS"): Objetivo 7. Energía asequible y limpia; y Objetivo 13. Acción por el Clima. Para precisar que se han identificado las metas de Naciones Unidas 7.2. y 13.1. en las que la empresa Pacific Corporate Sustainability (PCS), quien realizó el Informe de Segunda Opinión, opina que existe una contribución directa, favor ver más detalles en el apartado 1.1.2.7. Ambas metas son altamente relevantes por estar alineadas a los objetivos de transición energética de Costa Rica.</w:t>
      </w:r>
    </w:p>
    <w:p w14:paraId="4C3F0F91" w14:textId="77777777" w:rsidR="00C4260B" w:rsidRDefault="00C4260B" w:rsidP="00C4260B">
      <w:pPr>
        <w:pStyle w:val="Descripcin"/>
        <w:keepNext/>
        <w:spacing w:line="276" w:lineRule="auto"/>
        <w:jc w:val="both"/>
        <w:rPr>
          <w:rFonts w:ascii="Tw Cen MT" w:hAnsi="Tw Cen MT" w:cs="Tahoma"/>
          <w:i w:val="0"/>
          <w:iCs w:val="0"/>
          <w:color w:val="767171"/>
          <w:sz w:val="22"/>
          <w:szCs w:val="22"/>
          <w:lang w:val="es-PE"/>
        </w:rPr>
      </w:pPr>
    </w:p>
    <w:p w14:paraId="2A451168" w14:textId="77777777" w:rsidR="00C4260B" w:rsidRDefault="00C4260B" w:rsidP="00C4260B">
      <w:pPr>
        <w:pStyle w:val="Descripcin"/>
        <w:keepNext/>
        <w:rPr>
          <w:rFonts w:ascii="Tw Cen MT" w:hAnsi="Tw Cen MT"/>
          <w:i w:val="0"/>
          <w:iCs w:val="0"/>
          <w:color w:val="auto"/>
        </w:rPr>
      </w:pPr>
      <w:r>
        <w:rPr>
          <w:rFonts w:ascii="Tw Cen MT" w:hAnsi="Tw Cen MT"/>
          <w:i w:val="0"/>
          <w:iCs w:val="0"/>
          <w:color w:val="auto"/>
        </w:rPr>
        <w:t xml:space="preserve">Tabla </w:t>
      </w:r>
      <w:r>
        <w:rPr>
          <w:rFonts w:ascii="Tw Cen MT" w:hAnsi="Tw Cen MT"/>
          <w:i w:val="0"/>
          <w:iCs w:val="0"/>
          <w:color w:val="auto"/>
        </w:rPr>
        <w:fldChar w:fldCharType="begin"/>
      </w:r>
      <w:r>
        <w:rPr>
          <w:rFonts w:ascii="Tw Cen MT" w:hAnsi="Tw Cen MT"/>
          <w:i w:val="0"/>
          <w:iCs w:val="0"/>
          <w:color w:val="auto"/>
        </w:rPr>
        <w:instrText xml:space="preserve"> SEQ Tabla \* ARABIC </w:instrText>
      </w:r>
      <w:r>
        <w:rPr>
          <w:rFonts w:ascii="Tw Cen MT" w:hAnsi="Tw Cen MT"/>
          <w:i w:val="0"/>
          <w:iCs w:val="0"/>
          <w:color w:val="auto"/>
        </w:rPr>
        <w:fldChar w:fldCharType="separate"/>
      </w:r>
      <w:r>
        <w:rPr>
          <w:rFonts w:ascii="Tw Cen MT" w:hAnsi="Tw Cen MT"/>
          <w:i w:val="0"/>
          <w:iCs w:val="0"/>
          <w:noProof/>
          <w:color w:val="auto"/>
        </w:rPr>
        <w:t>1</w:t>
      </w:r>
      <w:r>
        <w:rPr>
          <w:rFonts w:ascii="Tw Cen MT" w:hAnsi="Tw Cen MT"/>
          <w:i w:val="0"/>
          <w:iCs w:val="0"/>
          <w:color w:val="auto"/>
        </w:rPr>
        <w:fldChar w:fldCharType="end"/>
      </w:r>
      <w:r>
        <w:rPr>
          <w:rFonts w:ascii="Tw Cen MT" w:hAnsi="Tw Cen MT"/>
          <w:i w:val="0"/>
          <w:iCs w:val="0"/>
          <w:color w:val="auto"/>
        </w:rPr>
        <w:t>: Análisis del impacto – ODS Core</w:t>
      </w:r>
    </w:p>
    <w:tbl>
      <w:tblPr>
        <w:tblStyle w:val="Tablaconcuadrcula"/>
        <w:tblW w:w="5000" w:type="pct"/>
        <w:tblLook w:val="04A0" w:firstRow="1" w:lastRow="0" w:firstColumn="1" w:lastColumn="0" w:noHBand="0" w:noVBand="1"/>
      </w:tblPr>
      <w:tblGrid>
        <w:gridCol w:w="2635"/>
        <w:gridCol w:w="3378"/>
        <w:gridCol w:w="3117"/>
      </w:tblGrid>
      <w:tr w:rsidR="00C4260B" w14:paraId="70F31886" w14:textId="77777777" w:rsidTr="00C4260B">
        <w:trPr>
          <w:trHeight w:val="596"/>
        </w:trPr>
        <w:tc>
          <w:tcPr>
            <w:tcW w:w="1443" w:type="pct"/>
            <w:tcBorders>
              <w:top w:val="single" w:sz="4" w:space="0" w:color="auto"/>
              <w:left w:val="single" w:sz="4" w:space="0" w:color="auto"/>
              <w:bottom w:val="single" w:sz="4" w:space="0" w:color="auto"/>
              <w:right w:val="single" w:sz="4" w:space="0" w:color="auto"/>
            </w:tcBorders>
          </w:tcPr>
          <w:p w14:paraId="36B9938E" w14:textId="77777777" w:rsidR="00C4260B" w:rsidRDefault="00C4260B" w:rsidP="00C4260B">
            <w:pPr>
              <w:pStyle w:val="BasicParagraph"/>
              <w:suppressAutoHyphens/>
              <w:spacing w:line="240" w:lineRule="auto"/>
              <w:jc w:val="center"/>
              <w:rPr>
                <w:rFonts w:ascii="Tw Cen MT" w:hAnsi="Tw Cen MT" w:cs="Tahoma"/>
                <w:b/>
                <w:bCs/>
                <w:color w:val="767171"/>
                <w:sz w:val="22"/>
                <w:szCs w:val="22"/>
                <w:lang w:val="es-PE"/>
              </w:rPr>
            </w:pPr>
            <w:r>
              <w:rPr>
                <w:rFonts w:ascii="Tw Cen MT" w:hAnsi="Tw Cen MT" w:cs="Tahoma"/>
                <w:b/>
                <w:bCs/>
                <w:color w:val="767171"/>
                <w:sz w:val="22"/>
                <w:szCs w:val="22"/>
                <w:lang w:val="es-PE"/>
              </w:rPr>
              <w:t>CATEGORÍA DE BONO VERDE</w:t>
            </w:r>
          </w:p>
          <w:p w14:paraId="085E8116" w14:textId="77777777" w:rsidR="00C4260B" w:rsidRDefault="00C4260B" w:rsidP="00C4260B">
            <w:pPr>
              <w:spacing w:line="264" w:lineRule="auto"/>
              <w:ind w:right="111"/>
              <w:contextualSpacing/>
              <w:jc w:val="center"/>
              <w:rPr>
                <w:rFonts w:ascii="Tw Cen MT" w:hAnsi="Tw Cen MT" w:cs="Tahoma"/>
                <w:b/>
                <w:bCs/>
                <w:color w:val="767171"/>
                <w:szCs w:val="20"/>
                <w:lang w:val="es-PE"/>
              </w:rPr>
            </w:pPr>
          </w:p>
        </w:tc>
        <w:tc>
          <w:tcPr>
            <w:tcW w:w="1850" w:type="pct"/>
            <w:tcBorders>
              <w:top w:val="single" w:sz="4" w:space="0" w:color="auto"/>
              <w:left w:val="single" w:sz="4" w:space="0" w:color="auto"/>
              <w:bottom w:val="single" w:sz="4" w:space="0" w:color="auto"/>
              <w:right w:val="single" w:sz="4" w:space="0" w:color="auto"/>
            </w:tcBorders>
            <w:hideMark/>
          </w:tcPr>
          <w:p w14:paraId="2C8ADBF2" w14:textId="77777777" w:rsidR="00C4260B" w:rsidRDefault="00C4260B" w:rsidP="00C4260B">
            <w:pPr>
              <w:spacing w:line="264" w:lineRule="auto"/>
              <w:ind w:right="111"/>
              <w:jc w:val="center"/>
              <w:rPr>
                <w:rFonts w:ascii="Tw Cen MT" w:hAnsi="Tw Cen MT" w:cs="Tahoma"/>
                <w:b/>
                <w:bCs/>
                <w:color w:val="767171"/>
                <w:lang w:val="es-PE"/>
              </w:rPr>
            </w:pPr>
            <w:r>
              <w:rPr>
                <w:rFonts w:ascii="Tw Cen MT" w:hAnsi="Tw Cen MT" w:cs="Tahoma"/>
                <w:b/>
                <w:bCs/>
                <w:color w:val="767171"/>
                <w:lang w:val="es-PE"/>
              </w:rPr>
              <w:t>OBJETIVO DE DESARROLLO SOSTENIBLE</w:t>
            </w:r>
          </w:p>
        </w:tc>
        <w:tc>
          <w:tcPr>
            <w:tcW w:w="1707" w:type="pct"/>
            <w:tcBorders>
              <w:top w:val="single" w:sz="4" w:space="0" w:color="auto"/>
              <w:left w:val="single" w:sz="4" w:space="0" w:color="auto"/>
              <w:bottom w:val="single" w:sz="4" w:space="0" w:color="auto"/>
              <w:right w:val="single" w:sz="4" w:space="0" w:color="auto"/>
            </w:tcBorders>
          </w:tcPr>
          <w:p w14:paraId="66249A2B" w14:textId="77777777" w:rsidR="00C4260B" w:rsidRDefault="00C4260B" w:rsidP="00C4260B">
            <w:pPr>
              <w:pStyle w:val="BasicParagraph"/>
              <w:suppressAutoHyphens/>
              <w:spacing w:line="240" w:lineRule="auto"/>
              <w:jc w:val="center"/>
              <w:rPr>
                <w:rFonts w:ascii="Tw Cen MT" w:hAnsi="Tw Cen MT" w:cs="Tahoma"/>
                <w:b/>
                <w:bCs/>
                <w:color w:val="767171"/>
                <w:sz w:val="22"/>
                <w:szCs w:val="22"/>
                <w:lang w:val="es-PE"/>
              </w:rPr>
            </w:pPr>
            <w:r>
              <w:rPr>
                <w:rFonts w:ascii="Tw Cen MT" w:hAnsi="Tw Cen MT" w:cs="Tahoma"/>
                <w:b/>
                <w:bCs/>
                <w:color w:val="767171"/>
                <w:sz w:val="22"/>
                <w:szCs w:val="22"/>
                <w:lang w:val="es-PE"/>
              </w:rPr>
              <w:t>META DE NACIONES UNIDAS</w:t>
            </w:r>
          </w:p>
          <w:p w14:paraId="253B59DC" w14:textId="77777777" w:rsidR="00C4260B" w:rsidRDefault="00C4260B" w:rsidP="00C4260B">
            <w:pPr>
              <w:spacing w:line="264" w:lineRule="auto"/>
              <w:ind w:right="111"/>
              <w:contextualSpacing/>
              <w:jc w:val="center"/>
              <w:rPr>
                <w:rFonts w:ascii="Tw Cen MT" w:hAnsi="Tw Cen MT" w:cs="Tahoma"/>
                <w:b/>
                <w:bCs/>
                <w:color w:val="767171"/>
                <w:szCs w:val="20"/>
                <w:lang w:val="es-PE"/>
              </w:rPr>
            </w:pPr>
          </w:p>
        </w:tc>
      </w:tr>
      <w:tr w:rsidR="00C4260B" w14:paraId="1E926350" w14:textId="77777777" w:rsidTr="00C4260B">
        <w:trPr>
          <w:trHeight w:val="1712"/>
        </w:trPr>
        <w:tc>
          <w:tcPr>
            <w:tcW w:w="1443" w:type="pct"/>
            <w:vMerge w:val="restart"/>
            <w:tcBorders>
              <w:top w:val="single" w:sz="4" w:space="0" w:color="auto"/>
              <w:left w:val="single" w:sz="4" w:space="0" w:color="auto"/>
              <w:bottom w:val="single" w:sz="4" w:space="0" w:color="auto"/>
              <w:right w:val="single" w:sz="4" w:space="0" w:color="auto"/>
            </w:tcBorders>
            <w:vAlign w:val="center"/>
            <w:hideMark/>
          </w:tcPr>
          <w:p w14:paraId="3900B116" w14:textId="77777777" w:rsidR="00C4260B" w:rsidRDefault="00C4260B" w:rsidP="00C4260B">
            <w:pPr>
              <w:spacing w:line="264" w:lineRule="auto"/>
              <w:ind w:right="111"/>
              <w:contextualSpacing/>
              <w:jc w:val="center"/>
              <w:rPr>
                <w:rFonts w:ascii="Tw Cen MT" w:hAnsi="Tw Cen MT" w:cs="Tahoma"/>
                <w:color w:val="767171"/>
                <w:lang w:val="es-PE"/>
              </w:rPr>
            </w:pPr>
            <w:r>
              <w:rPr>
                <w:rFonts w:ascii="Tw Cen MT" w:hAnsi="Tw Cen MT" w:cs="Tahoma"/>
                <w:color w:val="767171"/>
                <w:lang w:val="es-PE"/>
              </w:rPr>
              <w:t>Proyectos / Operaciones de Energías Renovables.</w:t>
            </w:r>
          </w:p>
        </w:tc>
        <w:tc>
          <w:tcPr>
            <w:tcW w:w="1850" w:type="pct"/>
            <w:tcBorders>
              <w:top w:val="single" w:sz="4" w:space="0" w:color="auto"/>
              <w:left w:val="single" w:sz="4" w:space="0" w:color="auto"/>
              <w:bottom w:val="single" w:sz="4" w:space="0" w:color="auto"/>
              <w:right w:val="single" w:sz="4" w:space="0" w:color="auto"/>
            </w:tcBorders>
            <w:hideMark/>
          </w:tcPr>
          <w:p w14:paraId="6A965BC0" w14:textId="77777777" w:rsidR="00C4260B" w:rsidRDefault="00C4260B" w:rsidP="00C4260B">
            <w:pPr>
              <w:spacing w:line="264" w:lineRule="auto"/>
              <w:ind w:right="111"/>
              <w:jc w:val="center"/>
              <w:rPr>
                <w:rFonts w:ascii="Tw Cen MT" w:hAnsi="Tw Cen MT" w:cs="Tahoma"/>
                <w:color w:val="767171"/>
                <w:lang w:val="es-PE"/>
              </w:rPr>
            </w:pPr>
            <w:r>
              <w:rPr>
                <w:rFonts w:ascii="Tw Cen MT" w:hAnsi="Tw Cen MT" w:cs="Tahoma"/>
                <w:color w:val="767171"/>
                <w:lang w:val="es-PE"/>
              </w:rPr>
              <w:t>Objetivo 7: Garantizar el acceso a una energía asequible, segura, sostenible y moderna.</w:t>
            </w:r>
          </w:p>
          <w:p w14:paraId="254ACEE3" w14:textId="77777777" w:rsidR="00C4260B" w:rsidRDefault="00C4260B" w:rsidP="00C4260B">
            <w:pPr>
              <w:pStyle w:val="Prrafodelista"/>
              <w:spacing w:line="264" w:lineRule="auto"/>
              <w:ind w:right="111"/>
              <w:jc w:val="center"/>
              <w:rPr>
                <w:rFonts w:ascii="Tw Cen MT" w:eastAsiaTheme="minorHAnsi" w:hAnsi="Tw Cen MT" w:cs="Tahoma"/>
                <w:color w:val="767171"/>
                <w:sz w:val="22"/>
                <w:szCs w:val="22"/>
                <w:lang w:val="es-PE" w:eastAsia="en-US"/>
              </w:rPr>
            </w:pPr>
            <w:r>
              <w:rPr>
                <w:noProof/>
                <w:lang w:val="es-CR" w:eastAsia="es-CR"/>
              </w:rPr>
              <w:drawing>
                <wp:anchor distT="0" distB="0" distL="114300" distR="114300" simplePos="0" relativeHeight="251669504" behindDoc="0" locked="0" layoutInCell="1" allowOverlap="1" wp14:anchorId="30AC57F8" wp14:editId="5EB78C46">
                  <wp:simplePos x="0" y="0"/>
                  <wp:positionH relativeFrom="column">
                    <wp:posOffset>847725</wp:posOffset>
                  </wp:positionH>
                  <wp:positionV relativeFrom="paragraph">
                    <wp:posOffset>66040</wp:posOffset>
                  </wp:positionV>
                  <wp:extent cx="492760" cy="492760"/>
                  <wp:effectExtent l="0" t="0" r="2540" b="254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07" w:type="pct"/>
            <w:tcBorders>
              <w:top w:val="single" w:sz="4" w:space="0" w:color="auto"/>
              <w:left w:val="single" w:sz="4" w:space="0" w:color="auto"/>
              <w:bottom w:val="single" w:sz="4" w:space="0" w:color="auto"/>
              <w:right w:val="single" w:sz="4" w:space="0" w:color="auto"/>
            </w:tcBorders>
            <w:hideMark/>
          </w:tcPr>
          <w:p w14:paraId="41EF90CA" w14:textId="77777777" w:rsidR="00C4260B" w:rsidRDefault="00C4260B" w:rsidP="00C4260B">
            <w:pPr>
              <w:jc w:val="center"/>
              <w:rPr>
                <w:rFonts w:ascii="Tw Cen MT" w:eastAsia="Batang" w:hAnsi="Tw Cen MT" w:cs="Tahoma"/>
                <w:color w:val="767171"/>
                <w:szCs w:val="20"/>
                <w:lang w:val="es-PE" w:eastAsia="es-ES"/>
              </w:rPr>
            </w:pPr>
            <w:r>
              <w:rPr>
                <w:rFonts w:ascii="Tw Cen MT" w:hAnsi="Tw Cen MT" w:cs="Tahoma"/>
                <w:color w:val="767171"/>
                <w:lang w:val="es-PE"/>
              </w:rPr>
              <w:t>Meta 7.2: De aquí a 2030, aumentar considerablemente la proporción de energía renovable en el conjunto de fuentes energéticas.</w:t>
            </w:r>
          </w:p>
        </w:tc>
      </w:tr>
      <w:tr w:rsidR="00C4260B" w14:paraId="2B620E6F" w14:textId="77777777" w:rsidTr="00C4260B">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8A3F0" w14:textId="77777777" w:rsidR="00C4260B" w:rsidRDefault="00C4260B" w:rsidP="00C4260B">
            <w:pPr>
              <w:rPr>
                <w:rFonts w:ascii="Tw Cen MT" w:eastAsia="Batang" w:hAnsi="Tw Cen MT" w:cs="Tahoma"/>
                <w:color w:val="767171"/>
                <w:lang w:val="es-PE" w:eastAsia="es-ES"/>
              </w:rPr>
            </w:pPr>
          </w:p>
        </w:tc>
        <w:tc>
          <w:tcPr>
            <w:tcW w:w="1850" w:type="pct"/>
            <w:tcBorders>
              <w:top w:val="single" w:sz="4" w:space="0" w:color="auto"/>
              <w:left w:val="single" w:sz="4" w:space="0" w:color="auto"/>
              <w:bottom w:val="single" w:sz="4" w:space="0" w:color="auto"/>
              <w:right w:val="single" w:sz="4" w:space="0" w:color="auto"/>
            </w:tcBorders>
            <w:hideMark/>
          </w:tcPr>
          <w:p w14:paraId="0DB63104" w14:textId="77777777" w:rsidR="00C4260B" w:rsidRDefault="00C4260B" w:rsidP="00C4260B">
            <w:pPr>
              <w:spacing w:line="264" w:lineRule="auto"/>
              <w:ind w:right="111"/>
              <w:jc w:val="center"/>
              <w:rPr>
                <w:rFonts w:ascii="Tw Cen MT" w:hAnsi="Tw Cen MT" w:cs="Tahoma"/>
                <w:color w:val="767171"/>
                <w:lang w:val="es-PE"/>
              </w:rPr>
            </w:pPr>
            <w:r>
              <w:rPr>
                <w:rFonts w:ascii="Tw Cen MT" w:hAnsi="Tw Cen MT" w:cs="Tahoma"/>
                <w:color w:val="767171"/>
                <w:lang w:val="es-PE"/>
              </w:rPr>
              <w:t>Objetivo 13: Adoptar medidas urgentes para combatir el cambio climático y sus efectos.</w:t>
            </w:r>
          </w:p>
          <w:p w14:paraId="21831FA0" w14:textId="77777777" w:rsidR="00C4260B" w:rsidRDefault="00C4260B" w:rsidP="00C4260B">
            <w:pPr>
              <w:spacing w:line="264" w:lineRule="auto"/>
              <w:ind w:right="111"/>
              <w:jc w:val="center"/>
              <w:rPr>
                <w:rFonts w:ascii="Tw Cen MT" w:hAnsi="Tw Cen MT" w:cs="Tahoma"/>
                <w:color w:val="767171"/>
                <w:lang w:val="es-PE"/>
              </w:rPr>
            </w:pPr>
            <w:r>
              <w:rPr>
                <w:noProof/>
                <w:lang w:val="es-CR" w:eastAsia="es-CR"/>
              </w:rPr>
              <w:drawing>
                <wp:anchor distT="0" distB="0" distL="114300" distR="114300" simplePos="0" relativeHeight="251670528" behindDoc="0" locked="0" layoutInCell="1" allowOverlap="1" wp14:anchorId="428D48B3" wp14:editId="412ACAC0">
                  <wp:simplePos x="0" y="0"/>
                  <wp:positionH relativeFrom="column">
                    <wp:posOffset>847725</wp:posOffset>
                  </wp:positionH>
                  <wp:positionV relativeFrom="paragraph">
                    <wp:posOffset>46990</wp:posOffset>
                  </wp:positionV>
                  <wp:extent cx="548640" cy="548640"/>
                  <wp:effectExtent l="0" t="0" r="3810" b="3810"/>
                  <wp:wrapSquare wrapText="bothSides"/>
                  <wp:docPr id="32" name="Imagen 32" descr="13 acción por el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13 acción por el cli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07" w:type="pct"/>
            <w:tcBorders>
              <w:top w:val="single" w:sz="4" w:space="0" w:color="auto"/>
              <w:left w:val="single" w:sz="4" w:space="0" w:color="auto"/>
              <w:bottom w:val="single" w:sz="4" w:space="0" w:color="auto"/>
              <w:right w:val="single" w:sz="4" w:space="0" w:color="auto"/>
            </w:tcBorders>
            <w:hideMark/>
          </w:tcPr>
          <w:p w14:paraId="3E61074E" w14:textId="77777777" w:rsidR="00C4260B" w:rsidRDefault="00C4260B" w:rsidP="00C4260B">
            <w:pPr>
              <w:jc w:val="center"/>
              <w:rPr>
                <w:rFonts w:ascii="Tw Cen MT" w:hAnsi="Tw Cen MT" w:cs="Tahoma"/>
                <w:color w:val="767171"/>
                <w:lang w:val="es-PE"/>
              </w:rPr>
            </w:pPr>
            <w:r>
              <w:rPr>
                <w:rFonts w:ascii="Tw Cen MT" w:hAnsi="Tw Cen MT" w:cs="Tahoma"/>
                <w:color w:val="767171"/>
                <w:lang w:val="es-PE"/>
              </w:rPr>
              <w:t>Meta 13.1: Fortalecer la resiliencia y la capacidad de adaptación a los riesgos relacionados con el clima y los desastres naturales en todos los países.</w:t>
            </w:r>
          </w:p>
        </w:tc>
      </w:tr>
    </w:tbl>
    <w:p w14:paraId="6BD07CA8" w14:textId="77777777" w:rsidR="00C4260B" w:rsidRDefault="00C4260B" w:rsidP="00C4260B">
      <w:pPr>
        <w:spacing w:line="264" w:lineRule="auto"/>
        <w:ind w:right="111"/>
        <w:contextualSpacing/>
        <w:rPr>
          <w:rFonts w:ascii="Tw Cen MT" w:eastAsia="Batang" w:hAnsi="Tw Cen MT" w:cs="Tahoma"/>
          <w:color w:val="767171"/>
          <w:szCs w:val="20"/>
          <w:lang w:val="es-PE" w:eastAsia="es-ES"/>
        </w:rPr>
      </w:pPr>
    </w:p>
    <w:p w14:paraId="384B2C0C" w14:textId="77777777" w:rsidR="00C4260B" w:rsidRDefault="00C4260B" w:rsidP="00C4260B">
      <w:pPr>
        <w:autoSpaceDE w:val="0"/>
        <w:autoSpaceDN w:val="0"/>
        <w:adjustRightInd w:val="0"/>
        <w:rPr>
          <w:rFonts w:ascii="Arial" w:eastAsia="ヒラギノ角ゴ Pro W3" w:hAnsi="Arial" w:cs="Arial"/>
          <w:sz w:val="20"/>
          <w:szCs w:val="22"/>
          <w:lang w:val="es-ES" w:eastAsia="en-US"/>
        </w:rPr>
      </w:pPr>
      <w:r>
        <w:rPr>
          <w:rFonts w:ascii="Arial" w:eastAsia="ヒラギノ角ゴ Pro W3" w:hAnsi="Arial" w:cs="Arial"/>
          <w:sz w:val="20"/>
          <w:szCs w:val="22"/>
          <w:lang w:val="es-ES_tradnl" w:eastAsia="en-US"/>
        </w:rPr>
        <w:t xml:space="preserve">Por otro lado, se ha reconocido una contribución colateral a los ODS 8 Trabajo Decente y Crecimiento Económico y al ODS 11 Ciudades y Comunidades Sostenibles. También se han precisado las metas específicas de Naciones Unidas 8.3. y 11.6., las cuales, si bien no están en el core de la operación de la PHR, se considera que existirá una contribución positiva y favorable para los grupos de interés, de acuerdo con el alineamiento con los ODS y que fue revisado por la empresa PCS: </w:t>
      </w:r>
    </w:p>
    <w:p w14:paraId="36E59B4E" w14:textId="77777777" w:rsidR="00C4260B" w:rsidRDefault="00C4260B" w:rsidP="00C4260B">
      <w:pPr>
        <w:spacing w:line="256" w:lineRule="auto"/>
        <w:rPr>
          <w:rFonts w:ascii="Tw Cen MT" w:eastAsiaTheme="minorHAnsi" w:hAnsi="Tw Cen MT" w:cstheme="minorBidi"/>
          <w:sz w:val="18"/>
          <w:szCs w:val="18"/>
          <w:lang w:val="es-GT" w:eastAsia="en-US"/>
        </w:rPr>
      </w:pPr>
    </w:p>
    <w:p w14:paraId="2183DC19" w14:textId="77777777" w:rsidR="00C4260B" w:rsidRDefault="00C4260B" w:rsidP="00C4260B">
      <w:pPr>
        <w:pStyle w:val="Descripcin"/>
        <w:keepNext/>
        <w:rPr>
          <w:rFonts w:ascii="Tw Cen MT" w:hAnsi="Tw Cen MT"/>
          <w:color w:val="auto"/>
        </w:rPr>
      </w:pPr>
      <w:r>
        <w:rPr>
          <w:rFonts w:ascii="Tw Cen MT" w:hAnsi="Tw Cen MT"/>
          <w:i w:val="0"/>
          <w:iCs w:val="0"/>
          <w:color w:val="auto"/>
        </w:rPr>
        <w:t xml:space="preserve">Tabla </w:t>
      </w:r>
      <w:r>
        <w:rPr>
          <w:rFonts w:ascii="Tw Cen MT" w:hAnsi="Tw Cen MT"/>
          <w:i w:val="0"/>
          <w:iCs w:val="0"/>
          <w:color w:val="auto"/>
        </w:rPr>
        <w:fldChar w:fldCharType="begin"/>
      </w:r>
      <w:r>
        <w:rPr>
          <w:rFonts w:ascii="Tw Cen MT" w:hAnsi="Tw Cen MT"/>
          <w:i w:val="0"/>
          <w:iCs w:val="0"/>
          <w:color w:val="auto"/>
        </w:rPr>
        <w:instrText xml:space="preserve"> SEQ Tabla \* ARABIC </w:instrText>
      </w:r>
      <w:r>
        <w:rPr>
          <w:rFonts w:ascii="Tw Cen MT" w:hAnsi="Tw Cen MT"/>
          <w:i w:val="0"/>
          <w:iCs w:val="0"/>
          <w:color w:val="auto"/>
        </w:rPr>
        <w:fldChar w:fldCharType="separate"/>
      </w:r>
      <w:r>
        <w:rPr>
          <w:rFonts w:ascii="Tw Cen MT" w:hAnsi="Tw Cen MT"/>
          <w:i w:val="0"/>
          <w:iCs w:val="0"/>
          <w:noProof/>
          <w:color w:val="auto"/>
        </w:rPr>
        <w:t>2</w:t>
      </w:r>
      <w:r>
        <w:rPr>
          <w:rFonts w:ascii="Tw Cen MT" w:hAnsi="Tw Cen MT"/>
          <w:i w:val="0"/>
          <w:iCs w:val="0"/>
          <w:color w:val="auto"/>
        </w:rPr>
        <w:fldChar w:fldCharType="end"/>
      </w:r>
      <w:r>
        <w:rPr>
          <w:rFonts w:ascii="Tw Cen MT" w:hAnsi="Tw Cen MT"/>
          <w:i w:val="0"/>
          <w:iCs w:val="0"/>
          <w:color w:val="auto"/>
        </w:rPr>
        <w:t>: Análisis del impacto – ODS colaterales</w:t>
      </w:r>
    </w:p>
    <w:tbl>
      <w:tblPr>
        <w:tblStyle w:val="Tablaconcuadrcula"/>
        <w:tblW w:w="5000" w:type="pct"/>
        <w:tblLook w:val="04A0" w:firstRow="1" w:lastRow="0" w:firstColumn="1" w:lastColumn="0" w:noHBand="0" w:noVBand="1"/>
      </w:tblPr>
      <w:tblGrid>
        <w:gridCol w:w="2635"/>
        <w:gridCol w:w="3378"/>
        <w:gridCol w:w="3117"/>
      </w:tblGrid>
      <w:tr w:rsidR="00C4260B" w14:paraId="02B213BE" w14:textId="77777777" w:rsidTr="00C4260B">
        <w:trPr>
          <w:trHeight w:val="596"/>
        </w:trPr>
        <w:tc>
          <w:tcPr>
            <w:tcW w:w="1443" w:type="pct"/>
            <w:tcBorders>
              <w:top w:val="single" w:sz="4" w:space="0" w:color="auto"/>
              <w:left w:val="single" w:sz="4" w:space="0" w:color="auto"/>
              <w:bottom w:val="single" w:sz="4" w:space="0" w:color="auto"/>
              <w:right w:val="single" w:sz="4" w:space="0" w:color="auto"/>
            </w:tcBorders>
          </w:tcPr>
          <w:p w14:paraId="5A9F7FF9" w14:textId="77777777" w:rsidR="00C4260B" w:rsidRDefault="00C4260B" w:rsidP="00C4260B">
            <w:pPr>
              <w:pStyle w:val="BasicParagraph"/>
              <w:suppressAutoHyphens/>
              <w:spacing w:line="240" w:lineRule="auto"/>
              <w:jc w:val="center"/>
              <w:rPr>
                <w:rFonts w:ascii="Tw Cen MT" w:hAnsi="Tw Cen MT" w:cs="Tahoma"/>
                <w:b/>
                <w:bCs/>
                <w:color w:val="767171"/>
                <w:sz w:val="20"/>
                <w:szCs w:val="20"/>
                <w:lang w:val="es-PE"/>
              </w:rPr>
            </w:pPr>
            <w:r>
              <w:rPr>
                <w:rFonts w:ascii="Tw Cen MT" w:hAnsi="Tw Cen MT" w:cs="Tahoma"/>
                <w:b/>
                <w:bCs/>
                <w:color w:val="767171"/>
                <w:sz w:val="20"/>
                <w:szCs w:val="20"/>
                <w:lang w:val="es-PE"/>
              </w:rPr>
              <w:t>CATEGORÍA DE BONO VERDE</w:t>
            </w:r>
          </w:p>
          <w:p w14:paraId="33FD6BF1" w14:textId="77777777" w:rsidR="00C4260B" w:rsidRDefault="00C4260B" w:rsidP="00C4260B">
            <w:pPr>
              <w:spacing w:line="264" w:lineRule="auto"/>
              <w:ind w:right="111"/>
              <w:contextualSpacing/>
              <w:jc w:val="center"/>
              <w:rPr>
                <w:rFonts w:ascii="Tw Cen MT" w:hAnsi="Tw Cen MT" w:cs="Tahoma"/>
                <w:b/>
                <w:bCs/>
                <w:color w:val="767171"/>
                <w:sz w:val="20"/>
                <w:szCs w:val="20"/>
                <w:lang w:val="es-PE"/>
              </w:rPr>
            </w:pPr>
          </w:p>
        </w:tc>
        <w:tc>
          <w:tcPr>
            <w:tcW w:w="1850" w:type="pct"/>
            <w:tcBorders>
              <w:top w:val="single" w:sz="4" w:space="0" w:color="auto"/>
              <w:left w:val="single" w:sz="4" w:space="0" w:color="auto"/>
              <w:bottom w:val="single" w:sz="4" w:space="0" w:color="auto"/>
              <w:right w:val="single" w:sz="4" w:space="0" w:color="auto"/>
            </w:tcBorders>
            <w:hideMark/>
          </w:tcPr>
          <w:p w14:paraId="1C22D964" w14:textId="77777777" w:rsidR="00C4260B" w:rsidRDefault="00C4260B" w:rsidP="00C4260B">
            <w:pPr>
              <w:spacing w:line="264" w:lineRule="auto"/>
              <w:ind w:right="111"/>
              <w:jc w:val="center"/>
              <w:rPr>
                <w:rFonts w:ascii="Tw Cen MT" w:hAnsi="Tw Cen MT" w:cs="Tahoma"/>
                <w:b/>
                <w:bCs/>
                <w:color w:val="767171"/>
                <w:sz w:val="20"/>
                <w:lang w:val="es-PE"/>
              </w:rPr>
            </w:pPr>
            <w:r>
              <w:rPr>
                <w:rFonts w:ascii="Tw Cen MT" w:hAnsi="Tw Cen MT" w:cs="Tahoma"/>
                <w:b/>
                <w:bCs/>
                <w:color w:val="767171"/>
                <w:sz w:val="20"/>
                <w:lang w:val="es-PE"/>
              </w:rPr>
              <w:t>OBJETIVO DE DESARROLLO SOSTENIBLE</w:t>
            </w:r>
          </w:p>
        </w:tc>
        <w:tc>
          <w:tcPr>
            <w:tcW w:w="1707" w:type="pct"/>
            <w:tcBorders>
              <w:top w:val="single" w:sz="4" w:space="0" w:color="auto"/>
              <w:left w:val="single" w:sz="4" w:space="0" w:color="auto"/>
              <w:bottom w:val="single" w:sz="4" w:space="0" w:color="auto"/>
              <w:right w:val="single" w:sz="4" w:space="0" w:color="auto"/>
            </w:tcBorders>
          </w:tcPr>
          <w:p w14:paraId="7FFA86D3" w14:textId="77777777" w:rsidR="00C4260B" w:rsidRDefault="00C4260B" w:rsidP="00C4260B">
            <w:pPr>
              <w:pStyle w:val="BasicParagraph"/>
              <w:suppressAutoHyphens/>
              <w:spacing w:line="240" w:lineRule="auto"/>
              <w:jc w:val="center"/>
              <w:rPr>
                <w:rFonts w:ascii="Tw Cen MT" w:hAnsi="Tw Cen MT" w:cs="Tahoma"/>
                <w:b/>
                <w:bCs/>
                <w:color w:val="767171"/>
                <w:sz w:val="20"/>
                <w:szCs w:val="20"/>
                <w:lang w:val="es-PE"/>
              </w:rPr>
            </w:pPr>
            <w:r>
              <w:rPr>
                <w:rFonts w:ascii="Tw Cen MT" w:hAnsi="Tw Cen MT" w:cs="Tahoma"/>
                <w:b/>
                <w:bCs/>
                <w:color w:val="767171"/>
                <w:sz w:val="20"/>
                <w:szCs w:val="20"/>
                <w:lang w:val="es-PE"/>
              </w:rPr>
              <w:t>META DE NACIONES UNIDAS</w:t>
            </w:r>
          </w:p>
          <w:p w14:paraId="49134104" w14:textId="77777777" w:rsidR="00C4260B" w:rsidRDefault="00C4260B" w:rsidP="00C4260B">
            <w:pPr>
              <w:spacing w:line="264" w:lineRule="auto"/>
              <w:ind w:right="111"/>
              <w:contextualSpacing/>
              <w:jc w:val="center"/>
              <w:rPr>
                <w:rFonts w:ascii="Tw Cen MT" w:hAnsi="Tw Cen MT" w:cs="Tahoma"/>
                <w:b/>
                <w:bCs/>
                <w:color w:val="767171"/>
                <w:sz w:val="20"/>
                <w:szCs w:val="20"/>
                <w:lang w:val="es-PE"/>
              </w:rPr>
            </w:pPr>
          </w:p>
        </w:tc>
      </w:tr>
      <w:tr w:rsidR="00C4260B" w14:paraId="04A97943" w14:textId="77777777" w:rsidTr="00C4260B">
        <w:trPr>
          <w:trHeight w:val="1712"/>
        </w:trPr>
        <w:tc>
          <w:tcPr>
            <w:tcW w:w="1443" w:type="pct"/>
            <w:vMerge w:val="restart"/>
            <w:tcBorders>
              <w:top w:val="single" w:sz="4" w:space="0" w:color="auto"/>
              <w:left w:val="single" w:sz="4" w:space="0" w:color="auto"/>
              <w:bottom w:val="single" w:sz="4" w:space="0" w:color="auto"/>
              <w:right w:val="single" w:sz="4" w:space="0" w:color="auto"/>
            </w:tcBorders>
            <w:vAlign w:val="center"/>
            <w:hideMark/>
          </w:tcPr>
          <w:p w14:paraId="04AC18F9" w14:textId="77777777" w:rsidR="00C4260B" w:rsidRDefault="00C4260B" w:rsidP="00C4260B">
            <w:pPr>
              <w:spacing w:line="264" w:lineRule="auto"/>
              <w:ind w:right="111"/>
              <w:contextualSpacing/>
              <w:jc w:val="center"/>
              <w:rPr>
                <w:rFonts w:ascii="Tw Cen MT" w:hAnsi="Tw Cen MT" w:cs="Tahoma"/>
                <w:color w:val="767171"/>
                <w:sz w:val="20"/>
                <w:lang w:val="es-PE"/>
              </w:rPr>
            </w:pPr>
            <w:r>
              <w:rPr>
                <w:rFonts w:ascii="Tw Cen MT" w:hAnsi="Tw Cen MT" w:cs="Tahoma"/>
                <w:color w:val="767171"/>
                <w:sz w:val="20"/>
                <w:lang w:val="es-PE"/>
              </w:rPr>
              <w:t>Proyectos / Operaciones de Energías Renovables.</w:t>
            </w:r>
          </w:p>
        </w:tc>
        <w:tc>
          <w:tcPr>
            <w:tcW w:w="1850" w:type="pct"/>
            <w:tcBorders>
              <w:top w:val="single" w:sz="4" w:space="0" w:color="auto"/>
              <w:left w:val="single" w:sz="4" w:space="0" w:color="auto"/>
              <w:bottom w:val="single" w:sz="4" w:space="0" w:color="auto"/>
              <w:right w:val="single" w:sz="4" w:space="0" w:color="auto"/>
            </w:tcBorders>
          </w:tcPr>
          <w:p w14:paraId="5946BDBB" w14:textId="77777777" w:rsidR="00C4260B" w:rsidRDefault="00C4260B" w:rsidP="00C4260B">
            <w:pPr>
              <w:spacing w:line="264" w:lineRule="auto"/>
              <w:ind w:right="111"/>
              <w:jc w:val="center"/>
              <w:rPr>
                <w:rFonts w:ascii="Tw Cen MT" w:hAnsi="Tw Cen MT" w:cs="Tahoma"/>
                <w:color w:val="767171"/>
                <w:sz w:val="20"/>
                <w:lang w:val="es-PE"/>
              </w:rPr>
            </w:pPr>
            <w:r>
              <w:rPr>
                <w:rFonts w:ascii="Tw Cen MT" w:hAnsi="Tw Cen MT" w:cs="Tahoma"/>
                <w:color w:val="767171"/>
                <w:sz w:val="20"/>
                <w:lang w:val="es-PE"/>
              </w:rPr>
              <w:t>Objetivo 8: Promover el crecimiento económico inclusivo y sostenible, el empleo y el trabajo decente para todos</w:t>
            </w:r>
          </w:p>
          <w:p w14:paraId="09E9A564" w14:textId="77777777" w:rsidR="00C4260B" w:rsidRDefault="00C4260B" w:rsidP="00C4260B">
            <w:pPr>
              <w:spacing w:line="264" w:lineRule="auto"/>
              <w:ind w:right="111"/>
              <w:jc w:val="center"/>
              <w:rPr>
                <w:rFonts w:ascii="Tw Cen MT" w:hAnsi="Tw Cen MT" w:cs="Tahoma"/>
                <w:color w:val="767171"/>
                <w:sz w:val="20"/>
                <w:lang w:val="es-PE"/>
              </w:rPr>
            </w:pPr>
            <w:r>
              <w:rPr>
                <w:noProof/>
                <w:lang w:val="es-CR" w:eastAsia="es-CR"/>
              </w:rPr>
              <w:drawing>
                <wp:anchor distT="0" distB="0" distL="114300" distR="114300" simplePos="0" relativeHeight="251671552" behindDoc="0" locked="0" layoutInCell="1" allowOverlap="1" wp14:anchorId="21B10BC8" wp14:editId="201DBDF1">
                  <wp:simplePos x="0" y="0"/>
                  <wp:positionH relativeFrom="column">
                    <wp:posOffset>812800</wp:posOffset>
                  </wp:positionH>
                  <wp:positionV relativeFrom="paragraph">
                    <wp:posOffset>50800</wp:posOffset>
                  </wp:positionV>
                  <wp:extent cx="538480" cy="538480"/>
                  <wp:effectExtent l="0" t="0" r="0" b="0"/>
                  <wp:wrapThrough wrapText="bothSides">
                    <wp:wrapPolygon edited="0">
                      <wp:start x="0" y="0"/>
                      <wp:lineTo x="0" y="20632"/>
                      <wp:lineTo x="20632" y="20632"/>
                      <wp:lineTo x="20632"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pic:spPr>
                      </pic:pic>
                    </a:graphicData>
                  </a:graphic>
                  <wp14:sizeRelH relativeFrom="page">
                    <wp14:pctWidth>0</wp14:pctWidth>
                  </wp14:sizeRelH>
                  <wp14:sizeRelV relativeFrom="page">
                    <wp14:pctHeight>0</wp14:pctHeight>
                  </wp14:sizeRelV>
                </wp:anchor>
              </w:drawing>
            </w:r>
          </w:p>
          <w:p w14:paraId="637A982F" w14:textId="77777777" w:rsidR="00C4260B" w:rsidRDefault="00C4260B" w:rsidP="00C4260B">
            <w:pPr>
              <w:pStyle w:val="Prrafodelista"/>
              <w:spacing w:line="264" w:lineRule="auto"/>
              <w:ind w:right="111"/>
              <w:jc w:val="center"/>
              <w:rPr>
                <w:rFonts w:ascii="Tw Cen MT" w:eastAsiaTheme="minorHAnsi" w:hAnsi="Tw Cen MT" w:cs="Tahoma"/>
                <w:color w:val="767171"/>
                <w:sz w:val="20"/>
                <w:lang w:val="es-PE" w:eastAsia="en-US"/>
              </w:rPr>
            </w:pPr>
          </w:p>
          <w:p w14:paraId="712D3F61" w14:textId="77777777" w:rsidR="00C4260B" w:rsidRDefault="00C4260B" w:rsidP="00C4260B">
            <w:pPr>
              <w:pStyle w:val="Prrafodelista"/>
              <w:spacing w:line="264" w:lineRule="auto"/>
              <w:ind w:right="111"/>
              <w:jc w:val="center"/>
              <w:rPr>
                <w:rFonts w:ascii="Tw Cen MT" w:eastAsiaTheme="minorHAnsi" w:hAnsi="Tw Cen MT" w:cs="Tahoma"/>
                <w:color w:val="767171"/>
                <w:sz w:val="20"/>
                <w:lang w:val="es-PE" w:eastAsia="en-US"/>
              </w:rPr>
            </w:pPr>
          </w:p>
          <w:p w14:paraId="6FE55330" w14:textId="77777777" w:rsidR="00C4260B" w:rsidRDefault="00C4260B" w:rsidP="00C4260B">
            <w:pPr>
              <w:pStyle w:val="Prrafodelista"/>
              <w:spacing w:line="264" w:lineRule="auto"/>
              <w:ind w:right="111"/>
              <w:jc w:val="center"/>
              <w:rPr>
                <w:rFonts w:ascii="Tw Cen MT" w:eastAsiaTheme="minorHAnsi" w:hAnsi="Tw Cen MT" w:cs="Tahoma"/>
                <w:color w:val="767171"/>
                <w:sz w:val="20"/>
                <w:lang w:val="es-PE" w:eastAsia="en-US"/>
              </w:rPr>
            </w:pPr>
          </w:p>
        </w:tc>
        <w:tc>
          <w:tcPr>
            <w:tcW w:w="1707" w:type="pct"/>
            <w:tcBorders>
              <w:top w:val="single" w:sz="4" w:space="0" w:color="auto"/>
              <w:left w:val="single" w:sz="4" w:space="0" w:color="auto"/>
              <w:bottom w:val="single" w:sz="4" w:space="0" w:color="auto"/>
              <w:right w:val="single" w:sz="4" w:space="0" w:color="auto"/>
            </w:tcBorders>
            <w:hideMark/>
          </w:tcPr>
          <w:p w14:paraId="4BB54874" w14:textId="77777777" w:rsidR="00C4260B" w:rsidRDefault="00C4260B" w:rsidP="00C4260B">
            <w:pPr>
              <w:jc w:val="center"/>
              <w:rPr>
                <w:rFonts w:ascii="Tw Cen MT" w:eastAsia="Batang" w:hAnsi="Tw Cen MT" w:cs="Tahoma"/>
                <w:color w:val="767171"/>
                <w:sz w:val="20"/>
                <w:lang w:val="es-PE" w:eastAsia="es-ES"/>
              </w:rPr>
            </w:pPr>
            <w:r>
              <w:rPr>
                <w:rFonts w:ascii="Tw Cen MT" w:hAnsi="Tw Cen MT" w:cs="Tahoma"/>
                <w:color w:val="767171"/>
                <w:sz w:val="20"/>
                <w:lang w:val="es-PE"/>
              </w:rPr>
              <w:t>Meta 8.3. Promover la creación de puestos de trabajos decentes, y fomentar el crecimiento de las microempresas y las pequeñas y medianas empresas, incluso mediante el acceso a servicios financieros.</w:t>
            </w:r>
          </w:p>
        </w:tc>
      </w:tr>
      <w:tr w:rsidR="00C4260B" w14:paraId="02EC7BB3" w14:textId="77777777" w:rsidTr="00C4260B">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DC120" w14:textId="77777777" w:rsidR="00C4260B" w:rsidRDefault="00C4260B" w:rsidP="00C4260B">
            <w:pPr>
              <w:rPr>
                <w:rFonts w:ascii="Tw Cen MT" w:eastAsia="Batang" w:hAnsi="Tw Cen MT" w:cs="Tahoma"/>
                <w:color w:val="767171"/>
                <w:sz w:val="20"/>
                <w:lang w:val="es-PE" w:eastAsia="es-ES"/>
              </w:rPr>
            </w:pPr>
          </w:p>
        </w:tc>
        <w:tc>
          <w:tcPr>
            <w:tcW w:w="1850" w:type="pct"/>
            <w:tcBorders>
              <w:top w:val="single" w:sz="4" w:space="0" w:color="auto"/>
              <w:left w:val="single" w:sz="4" w:space="0" w:color="auto"/>
              <w:bottom w:val="single" w:sz="4" w:space="0" w:color="auto"/>
              <w:right w:val="single" w:sz="4" w:space="0" w:color="auto"/>
            </w:tcBorders>
            <w:hideMark/>
          </w:tcPr>
          <w:p w14:paraId="6306D4E5" w14:textId="77777777" w:rsidR="00C4260B" w:rsidRDefault="00C4260B" w:rsidP="00C4260B">
            <w:pPr>
              <w:spacing w:line="264" w:lineRule="auto"/>
              <w:ind w:right="111"/>
              <w:jc w:val="center"/>
              <w:rPr>
                <w:rFonts w:ascii="Tw Cen MT" w:hAnsi="Tw Cen MT" w:cs="Tahoma"/>
                <w:color w:val="767171"/>
                <w:sz w:val="20"/>
                <w:lang w:val="es-CR"/>
              </w:rPr>
            </w:pPr>
            <w:r>
              <w:rPr>
                <w:rFonts w:ascii="Tw Cen MT" w:hAnsi="Tw Cen MT" w:cs="Tahoma"/>
                <w:color w:val="767171"/>
                <w:sz w:val="20"/>
                <w:lang w:val="es-PE"/>
              </w:rPr>
              <w:t>Objetivo 11: Lograr que las ciudades sean más inclusivas, seguras, resilientes y sostenibles.</w:t>
            </w:r>
          </w:p>
          <w:p w14:paraId="1822412A" w14:textId="77777777" w:rsidR="00C4260B" w:rsidRDefault="00C4260B" w:rsidP="00C4260B">
            <w:pPr>
              <w:spacing w:line="264" w:lineRule="auto"/>
              <w:ind w:right="111"/>
              <w:jc w:val="center"/>
              <w:rPr>
                <w:rFonts w:ascii="Tw Cen MT" w:hAnsi="Tw Cen MT" w:cs="Tahoma"/>
                <w:color w:val="767171"/>
                <w:sz w:val="20"/>
                <w:lang w:val="es-PE"/>
              </w:rPr>
            </w:pPr>
            <w:r>
              <w:rPr>
                <w:noProof/>
                <w:sz w:val="20"/>
                <w:lang w:val="es-CR" w:eastAsia="es-CR"/>
              </w:rPr>
              <w:drawing>
                <wp:inline distT="0" distB="0" distL="0" distR="0" wp14:anchorId="300C8890" wp14:editId="6BDFD720">
                  <wp:extent cx="523875" cy="5238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707" w:type="pct"/>
            <w:tcBorders>
              <w:top w:val="single" w:sz="4" w:space="0" w:color="auto"/>
              <w:left w:val="single" w:sz="4" w:space="0" w:color="auto"/>
              <w:bottom w:val="single" w:sz="4" w:space="0" w:color="auto"/>
              <w:right w:val="single" w:sz="4" w:space="0" w:color="auto"/>
            </w:tcBorders>
            <w:hideMark/>
          </w:tcPr>
          <w:p w14:paraId="752AB847" w14:textId="77777777" w:rsidR="00C4260B" w:rsidRDefault="00C4260B" w:rsidP="00C4260B">
            <w:pPr>
              <w:jc w:val="center"/>
              <w:rPr>
                <w:rFonts w:ascii="Tw Cen MT" w:hAnsi="Tw Cen MT" w:cs="Tahoma"/>
                <w:color w:val="767171"/>
                <w:sz w:val="20"/>
                <w:lang w:val="es-PE"/>
              </w:rPr>
            </w:pPr>
            <w:r>
              <w:rPr>
                <w:rFonts w:ascii="Tw Cen MT" w:hAnsi="Tw Cen MT" w:cs="Tahoma"/>
                <w:color w:val="767171"/>
                <w:sz w:val="20"/>
                <w:lang w:val="es-PE"/>
              </w:rPr>
              <w:t>Meta 11.6 De aquí a 2030, reducir el impacto ambiental negativo per cápita de las ciudades, incluso prestando especial atención a la calidad del aire y la gestión de los desechos municipales y de otro tipo</w:t>
            </w:r>
          </w:p>
        </w:tc>
      </w:tr>
    </w:tbl>
    <w:p w14:paraId="455237E7" w14:textId="77777777" w:rsidR="00C4260B" w:rsidRDefault="00C4260B" w:rsidP="00C4260B">
      <w:pPr>
        <w:pStyle w:val="Ttulo4"/>
        <w:rPr>
          <w:rFonts w:ascii="Arial" w:eastAsia="Batang" w:hAnsi="Arial" w:cs="Arial"/>
          <w:color w:val="000000"/>
          <w:sz w:val="20"/>
          <w:szCs w:val="20"/>
          <w:lang w:val="es-CR" w:eastAsia="en-US"/>
        </w:rPr>
      </w:pPr>
    </w:p>
    <w:p w14:paraId="7E376365" w14:textId="77777777" w:rsidR="00C4260B" w:rsidRDefault="00C4260B" w:rsidP="00C4260B">
      <w:pPr>
        <w:pStyle w:val="Body"/>
        <w:rPr>
          <w:sz w:val="20"/>
          <w:szCs w:val="22"/>
        </w:rPr>
      </w:pPr>
      <w:r>
        <w:rPr>
          <w:sz w:val="20"/>
          <w:szCs w:val="22"/>
        </w:rPr>
        <w:t>Específicamente, la siguiente tabla describe algunas de las características del proyecto consistentes con la elegibilidad en alineamiento con los ODS:</w:t>
      </w:r>
    </w:p>
    <w:p w14:paraId="2DED1FAA" w14:textId="77777777" w:rsidR="00C4260B" w:rsidRDefault="00C4260B" w:rsidP="00C4260B">
      <w:pPr>
        <w:pStyle w:val="Body"/>
        <w:rPr>
          <w:sz w:val="18"/>
          <w:szCs w:val="20"/>
        </w:rPr>
      </w:pPr>
    </w:p>
    <w:tbl>
      <w:tblPr>
        <w:tblStyle w:val="Tablaconcuadrcula"/>
        <w:tblW w:w="9072" w:type="dxa"/>
        <w:tblBorders>
          <w:insideH w:val="single" w:sz="4" w:space="0" w:color="0070C0"/>
        </w:tblBorders>
        <w:tblLook w:val="04A0" w:firstRow="1" w:lastRow="0" w:firstColumn="1" w:lastColumn="0" w:noHBand="0" w:noVBand="1"/>
      </w:tblPr>
      <w:tblGrid>
        <w:gridCol w:w="1843"/>
        <w:gridCol w:w="5757"/>
        <w:gridCol w:w="1472"/>
      </w:tblGrid>
      <w:tr w:rsidR="00C4260B" w14:paraId="29D81CCF" w14:textId="77777777" w:rsidTr="00C4260B">
        <w:trPr>
          <w:tblHeader/>
        </w:trPr>
        <w:tc>
          <w:tcPr>
            <w:tcW w:w="1843" w:type="dxa"/>
            <w:tcBorders>
              <w:top w:val="single" w:sz="4" w:space="0" w:color="auto"/>
              <w:left w:val="single" w:sz="4" w:space="0" w:color="auto"/>
              <w:bottom w:val="single" w:sz="4" w:space="0" w:color="0070C0"/>
              <w:right w:val="single" w:sz="4" w:space="0" w:color="auto"/>
            </w:tcBorders>
            <w:shd w:val="clear" w:color="auto" w:fill="D9D9D9" w:themeFill="background1" w:themeFillShade="D9"/>
            <w:vAlign w:val="center"/>
            <w:hideMark/>
          </w:tcPr>
          <w:p w14:paraId="7CE48DE7" w14:textId="77777777" w:rsidR="00C4260B" w:rsidRDefault="00C4260B" w:rsidP="00C4260B">
            <w:pPr>
              <w:spacing w:after="200"/>
              <w:jc w:val="center"/>
              <w:rPr>
                <w:rFonts w:ascii="Arial" w:hAnsi="Arial" w:cs="Arial"/>
                <w:b/>
                <w:bCs/>
                <w:sz w:val="18"/>
                <w:szCs w:val="18"/>
                <w:lang w:val="es-CR"/>
              </w:rPr>
            </w:pPr>
            <w:r>
              <w:rPr>
                <w:rFonts w:ascii="Arial" w:hAnsi="Arial" w:cs="Arial"/>
                <w:b/>
                <w:bCs/>
                <w:sz w:val="18"/>
                <w:szCs w:val="18"/>
                <w:lang w:val="es-CR"/>
              </w:rPr>
              <w:t>Categoría de Proyecto Verde Elegible</w:t>
            </w:r>
          </w:p>
        </w:tc>
        <w:tc>
          <w:tcPr>
            <w:tcW w:w="5757" w:type="dxa"/>
            <w:tcBorders>
              <w:top w:val="single" w:sz="4" w:space="0" w:color="auto"/>
              <w:left w:val="single" w:sz="4" w:space="0" w:color="auto"/>
              <w:bottom w:val="single" w:sz="4" w:space="0" w:color="0070C0"/>
              <w:right w:val="single" w:sz="4" w:space="0" w:color="auto"/>
            </w:tcBorders>
            <w:shd w:val="clear" w:color="auto" w:fill="D9D9D9" w:themeFill="background1" w:themeFillShade="D9"/>
            <w:vAlign w:val="center"/>
            <w:hideMark/>
          </w:tcPr>
          <w:p w14:paraId="6724CC41" w14:textId="77777777" w:rsidR="00C4260B" w:rsidRDefault="00C4260B" w:rsidP="00C4260B">
            <w:pPr>
              <w:spacing w:after="200"/>
              <w:jc w:val="center"/>
              <w:rPr>
                <w:rFonts w:ascii="Arial" w:hAnsi="Arial" w:cs="Arial"/>
                <w:b/>
                <w:bCs/>
                <w:sz w:val="18"/>
                <w:szCs w:val="18"/>
                <w:lang w:val="es-CR"/>
              </w:rPr>
            </w:pPr>
            <w:r>
              <w:rPr>
                <w:rFonts w:ascii="Arial" w:hAnsi="Arial" w:cs="Arial"/>
                <w:b/>
                <w:bCs/>
                <w:sz w:val="18"/>
                <w:szCs w:val="18"/>
                <w:lang w:val="es-CR"/>
              </w:rPr>
              <w:t>Descripción de elegibilidad</w:t>
            </w:r>
          </w:p>
        </w:tc>
        <w:tc>
          <w:tcPr>
            <w:tcW w:w="1472" w:type="dxa"/>
            <w:tcBorders>
              <w:top w:val="single" w:sz="4" w:space="0" w:color="auto"/>
              <w:left w:val="single" w:sz="4" w:space="0" w:color="auto"/>
              <w:bottom w:val="single" w:sz="4" w:space="0" w:color="0070C0"/>
              <w:right w:val="single" w:sz="4" w:space="0" w:color="auto"/>
            </w:tcBorders>
            <w:shd w:val="clear" w:color="auto" w:fill="D9D9D9" w:themeFill="background1" w:themeFillShade="D9"/>
            <w:vAlign w:val="center"/>
            <w:hideMark/>
          </w:tcPr>
          <w:p w14:paraId="09BCC4D7" w14:textId="77777777" w:rsidR="00C4260B" w:rsidRDefault="00C4260B" w:rsidP="00C4260B">
            <w:pPr>
              <w:spacing w:after="200"/>
              <w:jc w:val="center"/>
              <w:rPr>
                <w:rFonts w:ascii="Arial" w:hAnsi="Arial" w:cs="Arial"/>
                <w:b/>
                <w:bCs/>
                <w:sz w:val="18"/>
                <w:szCs w:val="18"/>
                <w:lang w:val="es-CR"/>
              </w:rPr>
            </w:pPr>
            <w:r>
              <w:rPr>
                <w:rFonts w:ascii="Arial" w:hAnsi="Arial" w:cs="Arial"/>
                <w:b/>
                <w:bCs/>
                <w:sz w:val="18"/>
                <w:szCs w:val="18"/>
                <w:lang w:val="es-CR"/>
              </w:rPr>
              <w:t>Alineamiento con ODS de la ONU</w:t>
            </w:r>
            <w:r>
              <w:rPr>
                <w:rStyle w:val="Refdenotaalpie"/>
                <w:rFonts w:ascii="Arial" w:hAnsi="Arial" w:cs="Arial"/>
                <w:b/>
                <w:bCs/>
                <w:sz w:val="18"/>
                <w:szCs w:val="18"/>
                <w:lang w:val="es-CR"/>
              </w:rPr>
              <w:footnoteReference w:id="1"/>
            </w:r>
          </w:p>
        </w:tc>
      </w:tr>
      <w:tr w:rsidR="00C4260B" w14:paraId="12DABE68" w14:textId="77777777" w:rsidTr="00C4260B">
        <w:trPr>
          <w:trHeight w:val="2766"/>
        </w:trPr>
        <w:tc>
          <w:tcPr>
            <w:tcW w:w="1843" w:type="dxa"/>
            <w:tcBorders>
              <w:top w:val="single" w:sz="4" w:space="0" w:color="0070C0"/>
              <w:left w:val="single" w:sz="4" w:space="0" w:color="auto"/>
              <w:bottom w:val="single" w:sz="4" w:space="0" w:color="auto"/>
              <w:right w:val="single" w:sz="4" w:space="0" w:color="auto"/>
            </w:tcBorders>
            <w:hideMark/>
          </w:tcPr>
          <w:p w14:paraId="62D60D96" w14:textId="77777777" w:rsidR="00C4260B" w:rsidRDefault="00C4260B" w:rsidP="00C4260B">
            <w:pPr>
              <w:spacing w:after="200"/>
              <w:rPr>
                <w:rFonts w:ascii="Arial" w:hAnsi="Arial" w:cs="Arial"/>
                <w:sz w:val="18"/>
                <w:szCs w:val="18"/>
                <w:lang w:val="es-CR"/>
              </w:rPr>
            </w:pPr>
            <w:r>
              <w:rPr>
                <w:rFonts w:ascii="Arial" w:hAnsi="Arial" w:cs="Arial"/>
                <w:sz w:val="18"/>
                <w:szCs w:val="18"/>
                <w:lang w:val="es-CR"/>
              </w:rPr>
              <w:t>Proyecto de Energías Renovables (energía hidroeléctrica – contribución a mitigación del cambio climático)</w:t>
            </w:r>
          </w:p>
        </w:tc>
        <w:tc>
          <w:tcPr>
            <w:tcW w:w="5757" w:type="dxa"/>
            <w:tcBorders>
              <w:top w:val="single" w:sz="4" w:space="0" w:color="0070C0"/>
              <w:left w:val="single" w:sz="4" w:space="0" w:color="auto"/>
              <w:bottom w:val="single" w:sz="4" w:space="0" w:color="auto"/>
              <w:right w:val="single" w:sz="4" w:space="0" w:color="auto"/>
            </w:tcBorders>
            <w:hideMark/>
          </w:tcPr>
          <w:p w14:paraId="48D40BE8" w14:textId="77777777" w:rsidR="00C4260B" w:rsidRDefault="00C4260B" w:rsidP="00C4260B">
            <w:pPr>
              <w:spacing w:after="200"/>
              <w:rPr>
                <w:rFonts w:ascii="Arial" w:hAnsi="Arial" w:cs="Arial"/>
                <w:sz w:val="18"/>
                <w:szCs w:val="18"/>
                <w:lang w:val="es-CR"/>
              </w:rPr>
            </w:pPr>
            <w:r>
              <w:rPr>
                <w:rFonts w:ascii="Arial" w:hAnsi="Arial" w:cs="Arial"/>
                <w:sz w:val="18"/>
                <w:szCs w:val="18"/>
                <w:lang w:val="es-CR"/>
              </w:rPr>
              <w:t>Refinanciación de deuda adquirida para la construcción y operación del activo PHR, que cumple con las siguientes características de sostenibilidad:</w:t>
            </w:r>
          </w:p>
          <w:p w14:paraId="09D9AA03" w14:textId="77777777" w:rsidR="00C4260B" w:rsidRDefault="00C4260B" w:rsidP="00C4260B">
            <w:pPr>
              <w:pStyle w:val="Prrafodelista"/>
              <w:numPr>
                <w:ilvl w:val="0"/>
                <w:numId w:val="70"/>
              </w:numPr>
              <w:spacing w:after="200"/>
              <w:ind w:right="0"/>
              <w:contextualSpacing/>
              <w:rPr>
                <w:rFonts w:ascii="Arial" w:hAnsi="Arial" w:cs="Arial"/>
                <w:sz w:val="18"/>
                <w:szCs w:val="18"/>
                <w:lang w:val="es-CR"/>
              </w:rPr>
            </w:pPr>
            <w:r>
              <w:rPr>
                <w:rFonts w:ascii="Arial" w:hAnsi="Arial" w:cs="Arial"/>
                <w:sz w:val="18"/>
                <w:szCs w:val="18"/>
                <w:lang w:val="es-CR"/>
              </w:rPr>
              <w:t>Evaluación de Impacto Ambiental (EIA) disponible y elaborada con base en las directrices sobre mejores prácticas reconocidas, de los riesgos ambientales y sociales.</w:t>
            </w:r>
          </w:p>
          <w:p w14:paraId="7E5BE9B0" w14:textId="77777777" w:rsidR="00C4260B" w:rsidRDefault="00C4260B" w:rsidP="00C4260B">
            <w:pPr>
              <w:pStyle w:val="Prrafodelista"/>
              <w:numPr>
                <w:ilvl w:val="0"/>
                <w:numId w:val="70"/>
              </w:numPr>
              <w:spacing w:after="200"/>
              <w:ind w:right="0"/>
              <w:contextualSpacing/>
              <w:rPr>
                <w:rFonts w:ascii="Arial" w:hAnsi="Arial" w:cs="Arial"/>
                <w:color w:val="595959"/>
                <w:sz w:val="18"/>
                <w:szCs w:val="18"/>
                <w:lang w:val="es-CR"/>
              </w:rPr>
            </w:pPr>
            <w:r>
              <w:rPr>
                <w:rFonts w:ascii="Arial" w:hAnsi="Arial" w:cs="Arial"/>
                <w:sz w:val="18"/>
                <w:szCs w:val="18"/>
                <w:lang w:val="es-CR"/>
              </w:rPr>
              <w:t>Construcción del proyecto evaluada bajo los criterios del Protocolo de Sostenibilidad de la Energía Hidroeléctrica.</w:t>
            </w:r>
          </w:p>
          <w:p w14:paraId="2720F269" w14:textId="77777777" w:rsidR="00C4260B" w:rsidRDefault="00C4260B" w:rsidP="00C4260B">
            <w:pPr>
              <w:pStyle w:val="Prrafodelista"/>
              <w:numPr>
                <w:ilvl w:val="0"/>
                <w:numId w:val="70"/>
              </w:numPr>
              <w:spacing w:after="200"/>
              <w:ind w:right="0"/>
              <w:contextualSpacing/>
              <w:rPr>
                <w:rFonts w:ascii="Arial" w:hAnsi="Arial" w:cs="Arial"/>
                <w:sz w:val="18"/>
                <w:szCs w:val="18"/>
                <w:lang w:val="es-CR"/>
              </w:rPr>
            </w:pPr>
            <w:r>
              <w:rPr>
                <w:rFonts w:ascii="Arial" w:hAnsi="Arial" w:cs="Arial"/>
                <w:sz w:val="18"/>
                <w:szCs w:val="18"/>
                <w:lang w:val="es-CR"/>
              </w:rPr>
              <w:t>Medidas para mitigar riesgos ambientales y sociales 100% implementadas y evaluadas con máximo puntaje bajo el Protocolo anteriormente mencionado.</w:t>
            </w:r>
          </w:p>
          <w:p w14:paraId="36006828" w14:textId="77777777" w:rsidR="00C4260B" w:rsidRDefault="00C4260B" w:rsidP="00C4260B">
            <w:pPr>
              <w:pStyle w:val="Prrafodelista"/>
              <w:numPr>
                <w:ilvl w:val="0"/>
                <w:numId w:val="70"/>
              </w:numPr>
              <w:spacing w:after="200"/>
              <w:ind w:right="0"/>
              <w:contextualSpacing/>
              <w:rPr>
                <w:rFonts w:ascii="Arial" w:hAnsi="Arial" w:cs="Arial"/>
                <w:sz w:val="18"/>
                <w:szCs w:val="18"/>
                <w:lang w:val="es-CR"/>
              </w:rPr>
            </w:pPr>
            <w:r>
              <w:rPr>
                <w:rFonts w:ascii="Arial" w:hAnsi="Arial" w:cs="Arial"/>
                <w:sz w:val="18"/>
                <w:szCs w:val="18"/>
                <w:lang w:val="es-CR"/>
              </w:rPr>
              <w:t>Abastecimiento de energía verde a 525 000 hogares.</w:t>
            </w:r>
          </w:p>
        </w:tc>
        <w:tc>
          <w:tcPr>
            <w:tcW w:w="1472" w:type="dxa"/>
            <w:tcBorders>
              <w:top w:val="single" w:sz="4" w:space="0" w:color="0070C0"/>
              <w:left w:val="single" w:sz="4" w:space="0" w:color="auto"/>
              <w:bottom w:val="single" w:sz="4" w:space="0" w:color="auto"/>
              <w:right w:val="single" w:sz="4" w:space="0" w:color="auto"/>
            </w:tcBorders>
          </w:tcPr>
          <w:p w14:paraId="48A8A158" w14:textId="77777777" w:rsidR="00C4260B" w:rsidRDefault="00C4260B" w:rsidP="00C4260B">
            <w:pPr>
              <w:spacing w:after="200"/>
              <w:jc w:val="center"/>
              <w:rPr>
                <w:rFonts w:ascii="Arial" w:hAnsi="Arial" w:cs="Arial"/>
                <w:sz w:val="18"/>
                <w:szCs w:val="18"/>
                <w:lang w:val="es-CR"/>
              </w:rPr>
            </w:pPr>
          </w:p>
          <w:p w14:paraId="08428C82" w14:textId="77777777" w:rsidR="00C4260B" w:rsidRDefault="00C4260B" w:rsidP="00C4260B">
            <w:pPr>
              <w:spacing w:after="200"/>
              <w:jc w:val="center"/>
              <w:rPr>
                <w:rFonts w:ascii="Arial" w:hAnsi="Arial" w:cs="Arial"/>
                <w:sz w:val="18"/>
                <w:szCs w:val="18"/>
                <w:lang w:val="es-CR"/>
              </w:rPr>
            </w:pPr>
            <w:r>
              <w:rPr>
                <w:noProof/>
                <w:sz w:val="18"/>
                <w:szCs w:val="18"/>
                <w:lang w:val="es-CR" w:eastAsia="es-CR"/>
              </w:rPr>
              <w:drawing>
                <wp:inline distT="0" distB="0" distL="0" distR="0" wp14:anchorId="054CC62A" wp14:editId="6D5ADD25">
                  <wp:extent cx="428625" cy="4286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7C14FB0A" w14:textId="77777777" w:rsidR="00C4260B" w:rsidRDefault="00C4260B" w:rsidP="00C4260B">
            <w:pPr>
              <w:spacing w:after="200"/>
              <w:jc w:val="center"/>
              <w:rPr>
                <w:rFonts w:ascii="Arial" w:hAnsi="Arial" w:cs="Arial"/>
                <w:sz w:val="18"/>
                <w:szCs w:val="18"/>
                <w:lang w:val="es-CR"/>
              </w:rPr>
            </w:pPr>
            <w:r>
              <w:rPr>
                <w:noProof/>
                <w:sz w:val="18"/>
                <w:szCs w:val="18"/>
                <w:lang w:val="es-CR" w:eastAsia="es-CR"/>
              </w:rPr>
              <w:drawing>
                <wp:inline distT="0" distB="0" distL="0" distR="0" wp14:anchorId="51E2D4DE" wp14:editId="72B6B739">
                  <wp:extent cx="447675" cy="447675"/>
                  <wp:effectExtent l="0" t="0" r="9525" b="9525"/>
                  <wp:docPr id="36" name="Imagen 36" descr="Objetivo 8 - AGUA TRABAJO DECENTE Y CRECIMIENTO ECONÓMICO. Fot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Objetivo 8 - AGUA TRABAJO DECENTE Y CRECIMIENTO ECONÓMICO. Foto ON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4BEFA817" w14:textId="77777777" w:rsidR="00C4260B" w:rsidRDefault="00C4260B" w:rsidP="00C4260B">
            <w:pPr>
              <w:spacing w:after="200"/>
              <w:jc w:val="center"/>
              <w:rPr>
                <w:rFonts w:ascii="Arial" w:hAnsi="Arial" w:cs="Arial"/>
                <w:sz w:val="18"/>
                <w:szCs w:val="18"/>
                <w:lang w:val="es-CR"/>
              </w:rPr>
            </w:pPr>
            <w:r>
              <w:rPr>
                <w:noProof/>
                <w:sz w:val="18"/>
                <w:szCs w:val="18"/>
                <w:lang w:val="es-CR" w:eastAsia="es-CR"/>
              </w:rPr>
              <w:drawing>
                <wp:inline distT="0" distB="0" distL="0" distR="0" wp14:anchorId="42DF50D7" wp14:editId="0C2D0F37">
                  <wp:extent cx="428625" cy="4381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p w14:paraId="44106521" w14:textId="77777777" w:rsidR="00C4260B" w:rsidRDefault="00C4260B" w:rsidP="00C4260B">
            <w:pPr>
              <w:spacing w:after="200"/>
              <w:jc w:val="center"/>
              <w:rPr>
                <w:rFonts w:ascii="Arial" w:hAnsi="Arial" w:cs="Arial"/>
                <w:sz w:val="18"/>
                <w:szCs w:val="18"/>
                <w:lang w:val="es-CR"/>
              </w:rPr>
            </w:pPr>
            <w:r>
              <w:rPr>
                <w:noProof/>
                <w:sz w:val="18"/>
                <w:szCs w:val="18"/>
                <w:lang w:val="es-CR" w:eastAsia="es-CR"/>
              </w:rPr>
              <w:drawing>
                <wp:inline distT="0" distB="0" distL="0" distR="0" wp14:anchorId="37AD72EB" wp14:editId="141E7538">
                  <wp:extent cx="428625" cy="4286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4404769C" w14:textId="77777777" w:rsidR="00C4260B" w:rsidRDefault="00C4260B" w:rsidP="00C4260B">
            <w:pPr>
              <w:spacing w:after="200"/>
              <w:jc w:val="center"/>
              <w:rPr>
                <w:rFonts w:ascii="Arial" w:hAnsi="Arial" w:cs="Arial"/>
                <w:sz w:val="18"/>
                <w:szCs w:val="18"/>
                <w:lang w:val="es-CR"/>
              </w:rPr>
            </w:pPr>
          </w:p>
          <w:p w14:paraId="7A470D6B" w14:textId="77777777" w:rsidR="00C4260B" w:rsidRDefault="00C4260B" w:rsidP="00C4260B">
            <w:pPr>
              <w:spacing w:after="200"/>
              <w:jc w:val="center"/>
              <w:rPr>
                <w:rFonts w:ascii="Arial" w:hAnsi="Arial" w:cs="Arial"/>
                <w:sz w:val="18"/>
                <w:szCs w:val="18"/>
                <w:lang w:val="es-CR"/>
              </w:rPr>
            </w:pPr>
          </w:p>
        </w:tc>
      </w:tr>
    </w:tbl>
    <w:p w14:paraId="6CC74B0F" w14:textId="77777777" w:rsidR="00C4260B" w:rsidRDefault="00C4260B" w:rsidP="00C4260B">
      <w:pPr>
        <w:spacing w:line="256" w:lineRule="auto"/>
        <w:rPr>
          <w:rFonts w:ascii="Arial" w:eastAsia="Batang" w:hAnsi="Arial" w:cs="Arial"/>
          <w:b/>
          <w:bCs/>
          <w:sz w:val="20"/>
          <w:szCs w:val="20"/>
          <w:lang w:val="es-ES" w:eastAsia="es-ES"/>
        </w:rPr>
      </w:pPr>
    </w:p>
    <w:p w14:paraId="30455D9B" w14:textId="34976FE4" w:rsidR="00C4260B" w:rsidRDefault="00C4260B" w:rsidP="002817B6">
      <w:pPr>
        <w:spacing w:line="276" w:lineRule="auto"/>
        <w:rPr>
          <w:rFonts w:ascii="Arial" w:hAnsi="Arial" w:cs="Arial"/>
          <w:sz w:val="20"/>
        </w:rPr>
      </w:pPr>
    </w:p>
    <w:p w14:paraId="6242F395" w14:textId="7B85E809" w:rsidR="002817B6" w:rsidRDefault="002817B6" w:rsidP="002817B6">
      <w:pPr>
        <w:spacing w:line="276" w:lineRule="auto"/>
        <w:rPr>
          <w:rFonts w:ascii="Arial" w:eastAsia="Batang" w:hAnsi="Arial" w:cs="Arial"/>
          <w:sz w:val="20"/>
          <w:szCs w:val="20"/>
          <w:lang w:val="es-ES" w:eastAsia="es-ES"/>
        </w:rPr>
      </w:pPr>
      <w:r>
        <w:rPr>
          <w:rFonts w:ascii="Arial" w:hAnsi="Arial" w:cs="Arial"/>
          <w:sz w:val="20"/>
        </w:rPr>
        <w:t xml:space="preserve">Se </w:t>
      </w:r>
      <w:r w:rsidR="00624512">
        <w:rPr>
          <w:rFonts w:ascii="Arial" w:hAnsi="Arial" w:cs="Arial"/>
          <w:sz w:val="20"/>
        </w:rPr>
        <w:t xml:space="preserve">tiene </w:t>
      </w:r>
      <w:r>
        <w:rPr>
          <w:rFonts w:ascii="Arial" w:hAnsi="Arial" w:cs="Arial"/>
          <w:sz w:val="20"/>
        </w:rPr>
        <w:t>conformado un Equipo Técnico del Bono Verde dentro del ICE que velará por el cumplimiento de los criterios establecidos en el Marco de Gestión y en el Informe de Segunda Opinión de Bono Verde asociado a la PHR, los cuales fueron elaborados con la prestación de servicios de consultoría de dos firmas consultoras especializadas.</w:t>
      </w:r>
    </w:p>
    <w:p w14:paraId="3D87818E" w14:textId="77777777" w:rsidR="002817B6" w:rsidRDefault="002817B6" w:rsidP="002817B6">
      <w:pPr>
        <w:pStyle w:val="Prrafodelista"/>
        <w:spacing w:line="276" w:lineRule="auto"/>
        <w:rPr>
          <w:rFonts w:ascii="Arial" w:hAnsi="Arial" w:cs="Arial"/>
          <w:sz w:val="20"/>
        </w:rPr>
      </w:pPr>
    </w:p>
    <w:p w14:paraId="12820A0B" w14:textId="77777777" w:rsidR="002817B6" w:rsidRDefault="002817B6" w:rsidP="002817B6">
      <w:pPr>
        <w:spacing w:line="276" w:lineRule="auto"/>
        <w:rPr>
          <w:rFonts w:ascii="Arial" w:hAnsi="Arial" w:cs="Arial"/>
          <w:sz w:val="20"/>
        </w:rPr>
      </w:pPr>
      <w:r>
        <w:rPr>
          <w:rFonts w:ascii="Arial" w:hAnsi="Arial" w:cs="Arial"/>
          <w:sz w:val="20"/>
        </w:rPr>
        <w:t>El Equipo Técnico del Bono Verde estará representado por varias áreas del ICE, a saber: Dirección de Planificación y Sostenibilidad de la Gerencia de Electricidad, así como por la Unidad de Sostenibilidad, Estrategia e Innovación de la Gerencia de Finanzas.</w:t>
      </w:r>
      <w:r>
        <w:rPr>
          <w:vertAlign w:val="superscript"/>
        </w:rPr>
        <w:footnoteReference w:id="2"/>
      </w:r>
      <w:r>
        <w:rPr>
          <w:rFonts w:ascii="Arial" w:hAnsi="Arial" w:cs="Arial"/>
          <w:sz w:val="20"/>
        </w:rPr>
        <w:t xml:space="preserve"> Cabe destacar que, al haber recibido la PHR financiamiento de agencias multilaterales con altos y rigurosos requerimientos en materia de sostenibilidad, además, se ha validado que existen capacidades para el desarrollo de las acciones de seguimiento y monitoreo respectivas.</w:t>
      </w:r>
    </w:p>
    <w:p w14:paraId="21C7F93A" w14:textId="77777777" w:rsidR="002817B6" w:rsidRDefault="002817B6" w:rsidP="002817B6">
      <w:pPr>
        <w:spacing w:line="276" w:lineRule="auto"/>
        <w:rPr>
          <w:rFonts w:ascii="Arial" w:hAnsi="Arial" w:cs="Arial"/>
          <w:sz w:val="20"/>
        </w:rPr>
      </w:pPr>
    </w:p>
    <w:p w14:paraId="0FB0E683" w14:textId="3DD1B8BE" w:rsidR="002817B6" w:rsidRDefault="002817B6" w:rsidP="002817B6">
      <w:pPr>
        <w:spacing w:line="276" w:lineRule="auto"/>
        <w:rPr>
          <w:rFonts w:ascii="Arial" w:hAnsi="Arial" w:cs="Arial"/>
          <w:sz w:val="20"/>
        </w:rPr>
      </w:pPr>
      <w:r>
        <w:rPr>
          <w:rFonts w:ascii="Arial" w:hAnsi="Arial" w:cs="Arial"/>
          <w:sz w:val="20"/>
        </w:rPr>
        <w:t>El Equipo Técnico del Bono Verde se reunirá dos veces al año para revisar y confirmar el cumplimiento de las mencionadas características, así como la adecuada gestión de riesgos ambientales y sociales de acuerdo con el sistema de evaluación de riesgos del ICE</w:t>
      </w:r>
      <w:r w:rsidR="00624512">
        <w:rPr>
          <w:rFonts w:ascii="Arial" w:hAnsi="Arial" w:cs="Arial"/>
          <w:sz w:val="20"/>
        </w:rPr>
        <w:t>, en la actual etapa de operación</w:t>
      </w:r>
      <w:r>
        <w:rPr>
          <w:rFonts w:ascii="Arial" w:hAnsi="Arial" w:cs="Arial"/>
          <w:sz w:val="20"/>
        </w:rPr>
        <w:t>.</w:t>
      </w:r>
    </w:p>
    <w:p w14:paraId="1087EB29" w14:textId="77777777" w:rsidR="002817B6" w:rsidRDefault="002817B6" w:rsidP="002817B6">
      <w:pPr>
        <w:spacing w:line="276" w:lineRule="auto"/>
        <w:rPr>
          <w:rFonts w:ascii="Arial" w:hAnsi="Arial" w:cs="Arial"/>
          <w:sz w:val="20"/>
        </w:rPr>
      </w:pPr>
    </w:p>
    <w:p w14:paraId="495546E1" w14:textId="77777777" w:rsidR="002817B6" w:rsidRDefault="002817B6" w:rsidP="002817B6">
      <w:pPr>
        <w:spacing w:line="276" w:lineRule="auto"/>
        <w:rPr>
          <w:rFonts w:ascii="Arial" w:hAnsi="Arial" w:cs="Arial"/>
          <w:sz w:val="20"/>
        </w:rPr>
      </w:pPr>
      <w:r>
        <w:rPr>
          <w:rFonts w:ascii="Arial" w:hAnsi="Arial" w:cs="Arial"/>
          <w:sz w:val="20"/>
        </w:rPr>
        <w:t>La PHR se encuentra en operación comercial desde noviembre del 2016 y dispone de un Plan de Gestión Ambiental y Social (PGAS-O), que contempla la ejecución de varios programas vinculados a temas ambientales, sociales y de gobernanza. Este plan se encuentra bajo un proceso de supervisión, tanto por los equipos de salvaguardas ambientales y sociales de la Banca Multilateral, como de un equipo Consultor Ambiental y Social Independiente (CASI).</w:t>
      </w:r>
    </w:p>
    <w:p w14:paraId="678D0E69" w14:textId="77777777" w:rsidR="002817B6" w:rsidRDefault="002817B6" w:rsidP="002817B6">
      <w:pPr>
        <w:pStyle w:val="Prrafodelista"/>
        <w:spacing w:line="276" w:lineRule="auto"/>
        <w:rPr>
          <w:rFonts w:ascii="Arial" w:hAnsi="Arial" w:cs="Arial"/>
          <w:sz w:val="20"/>
        </w:rPr>
      </w:pPr>
    </w:p>
    <w:p w14:paraId="296EC8D5" w14:textId="77777777" w:rsidR="002817B6" w:rsidRDefault="002817B6" w:rsidP="002817B6">
      <w:pPr>
        <w:spacing w:line="276" w:lineRule="auto"/>
        <w:rPr>
          <w:rFonts w:ascii="Arial" w:hAnsi="Arial" w:cs="Arial"/>
          <w:sz w:val="20"/>
        </w:rPr>
      </w:pPr>
      <w:r>
        <w:rPr>
          <w:rFonts w:ascii="Arial" w:hAnsi="Arial" w:cs="Arial"/>
          <w:sz w:val="20"/>
        </w:rPr>
        <w:t>La PHR prepara informes anuales, a los distintos órganos de supervisión internacionales, nacionales e institucionales, donde brinda detalles sobre el avance del cumplimiento de las actividades establecidas en el PGAS-O, con base en normas internacionales, tales como las Normas de Desempeño sobre Sostenibilidad Ambiental y Social del IFC.</w:t>
      </w:r>
    </w:p>
    <w:p w14:paraId="1A1B626E" w14:textId="77777777" w:rsidR="002817B6" w:rsidRDefault="002817B6" w:rsidP="002817B6">
      <w:pPr>
        <w:spacing w:line="276" w:lineRule="auto"/>
        <w:rPr>
          <w:rFonts w:ascii="Arial" w:hAnsi="Arial" w:cs="Arial"/>
          <w:sz w:val="20"/>
        </w:rPr>
      </w:pPr>
    </w:p>
    <w:p w14:paraId="279BE1A4" w14:textId="77777777" w:rsidR="002817B6" w:rsidRDefault="002817B6" w:rsidP="002817B6">
      <w:pPr>
        <w:spacing w:line="276" w:lineRule="auto"/>
        <w:rPr>
          <w:rFonts w:ascii="Arial" w:hAnsi="Arial" w:cs="Arial"/>
          <w:sz w:val="20"/>
        </w:rPr>
      </w:pPr>
      <w:r>
        <w:rPr>
          <w:rFonts w:ascii="Arial" w:hAnsi="Arial" w:cs="Arial"/>
          <w:sz w:val="20"/>
        </w:rPr>
        <w:t xml:space="preserve">En el improbable caso de que la PHR deje de ser elegible, éste se reemplazará por otro Proyecto Verde Elegible dentro del portafolio de ICE (que cumpla con los criterios establecidos en el apartado anterior), previamente aprobado por el Equipo Técnico del Bono Verde, representado por varias áreas del ICE, Dirección de Planificación y Sostenibilidad de la Gerencia de Electricidad, así como por la Unidad de Sostenibilidad, Estrategia e Innovación de la Gerencia de Finanzas. El eventual reemplazo se realizará en el menor tiempo posible y se informará a los inversionistas por medio de un “hecho relevante” de conformidad con lo establecido por la Superintendencia General de Valores. </w:t>
      </w:r>
    </w:p>
    <w:p w14:paraId="222C1597" w14:textId="77777777" w:rsidR="002817B6" w:rsidRDefault="002817B6" w:rsidP="002817B6">
      <w:pPr>
        <w:spacing w:line="276" w:lineRule="auto"/>
        <w:rPr>
          <w:rFonts w:ascii="Arial" w:hAnsi="Arial" w:cs="Arial"/>
          <w:sz w:val="20"/>
        </w:rPr>
      </w:pPr>
      <w:r>
        <w:rPr>
          <w:rFonts w:ascii="Arial" w:hAnsi="Arial" w:cs="Arial"/>
          <w:sz w:val="20"/>
        </w:rPr>
        <w:t xml:space="preserve"> </w:t>
      </w:r>
    </w:p>
    <w:p w14:paraId="10450080" w14:textId="77777777" w:rsidR="002817B6" w:rsidRDefault="002817B6" w:rsidP="002817B6">
      <w:pPr>
        <w:spacing w:line="276" w:lineRule="auto"/>
        <w:rPr>
          <w:rFonts w:ascii="Arial" w:hAnsi="Arial" w:cs="Arial"/>
          <w:sz w:val="20"/>
        </w:rPr>
      </w:pPr>
      <w:r>
        <w:rPr>
          <w:rFonts w:ascii="Arial" w:hAnsi="Arial" w:cs="Arial"/>
          <w:sz w:val="20"/>
        </w:rPr>
        <w:t>La calificación del eventual nuevo proyecto como “verde” se verificará externamente por un ente independiente.</w:t>
      </w:r>
    </w:p>
    <w:p w14:paraId="4230DC48" w14:textId="77777777" w:rsidR="002817B6" w:rsidRDefault="002817B6" w:rsidP="002817B6">
      <w:pPr>
        <w:spacing w:line="276" w:lineRule="auto"/>
        <w:rPr>
          <w:rFonts w:ascii="Arial" w:hAnsi="Arial" w:cs="Arial"/>
          <w:sz w:val="20"/>
        </w:rPr>
      </w:pPr>
    </w:p>
    <w:p w14:paraId="677F8F52" w14:textId="77777777" w:rsidR="002817B6" w:rsidRDefault="002817B6" w:rsidP="002817B6">
      <w:pPr>
        <w:rPr>
          <w:rFonts w:ascii="Arial" w:eastAsia="ヒラギノ角ゴ Pro W3" w:hAnsi="Arial" w:cs="Arial"/>
          <w:sz w:val="20"/>
          <w:szCs w:val="22"/>
          <w:lang w:eastAsia="en-US"/>
        </w:rPr>
      </w:pPr>
      <w:r>
        <w:rPr>
          <w:rFonts w:ascii="Arial" w:eastAsia="ヒラギノ角ゴ Pro W3" w:hAnsi="Arial" w:cs="Arial"/>
          <w:b/>
          <w:bCs/>
          <w:sz w:val="20"/>
          <w:szCs w:val="22"/>
          <w:lang w:eastAsia="en-US"/>
        </w:rPr>
        <w:t>2.1</w:t>
      </w:r>
      <w:r>
        <w:rPr>
          <w:rFonts w:ascii="Arial" w:eastAsia="ヒラギノ角ゴ Pro W3" w:hAnsi="Arial" w:cs="Arial"/>
          <w:sz w:val="20"/>
          <w:szCs w:val="22"/>
          <w:lang w:eastAsia="en-US"/>
        </w:rPr>
        <w:t xml:space="preserve">  </w:t>
      </w:r>
      <w:r>
        <w:rPr>
          <w:rFonts w:ascii="Arial" w:eastAsia="ヒラギノ角ゴ Pro W3" w:hAnsi="Arial" w:cs="Arial"/>
          <w:b/>
          <w:bCs/>
          <w:sz w:val="20"/>
          <w:szCs w:val="22"/>
          <w:lang w:eastAsia="en-US"/>
        </w:rPr>
        <w:t>Riesgos asociados a la emisión de este bono verde</w:t>
      </w:r>
      <w:r>
        <w:rPr>
          <w:rFonts w:ascii="Arial" w:eastAsia="ヒラギノ角ゴ Pro W3" w:hAnsi="Arial" w:cs="Arial"/>
          <w:sz w:val="20"/>
          <w:szCs w:val="22"/>
          <w:lang w:eastAsia="en-US"/>
        </w:rPr>
        <w:t xml:space="preserve"> </w:t>
      </w:r>
    </w:p>
    <w:p w14:paraId="23AA1C79" w14:textId="77777777" w:rsidR="002817B6" w:rsidRDefault="002817B6" w:rsidP="002817B6">
      <w:pPr>
        <w:rPr>
          <w:rFonts w:ascii="Arial" w:eastAsia="ヒラギノ角ゴ Pro W3" w:hAnsi="Arial" w:cs="Arial"/>
          <w:sz w:val="20"/>
          <w:szCs w:val="22"/>
          <w:lang w:eastAsia="en-US"/>
        </w:rPr>
      </w:pPr>
    </w:p>
    <w:p w14:paraId="50132612" w14:textId="5DE25582"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 xml:space="preserve">Los factores de riesgo que afectan </w:t>
      </w:r>
      <w:r w:rsidR="00624512">
        <w:rPr>
          <w:rFonts w:ascii="Arial" w:eastAsia="ヒラギノ角ゴ Pro W3" w:hAnsi="Arial" w:cs="Arial"/>
          <w:sz w:val="20"/>
          <w:szCs w:val="22"/>
          <w:lang w:eastAsia="en-US"/>
        </w:rPr>
        <w:t xml:space="preserve">al </w:t>
      </w:r>
      <w:r w:rsidR="00413986">
        <w:rPr>
          <w:rFonts w:ascii="Arial" w:eastAsia="ヒラギノ角ゴ Pro W3" w:hAnsi="Arial" w:cs="Arial"/>
          <w:sz w:val="20"/>
          <w:szCs w:val="22"/>
          <w:lang w:eastAsia="en-US"/>
        </w:rPr>
        <w:t>E</w:t>
      </w:r>
      <w:r w:rsidR="00624512">
        <w:rPr>
          <w:rFonts w:ascii="Arial" w:eastAsia="ヒラギノ角ゴ Pro W3" w:hAnsi="Arial" w:cs="Arial"/>
          <w:sz w:val="20"/>
          <w:szCs w:val="22"/>
          <w:lang w:eastAsia="en-US"/>
        </w:rPr>
        <w:t xml:space="preserve">misor </w:t>
      </w:r>
      <w:r>
        <w:rPr>
          <w:rFonts w:ascii="Arial" w:eastAsia="ヒラギノ角ゴ Pro W3" w:hAnsi="Arial" w:cs="Arial"/>
          <w:sz w:val="20"/>
          <w:szCs w:val="22"/>
          <w:lang w:eastAsia="en-US"/>
        </w:rPr>
        <w:t>y a la emisión, según valoración de la Dirección Riesgo Financiero de la Gerencia de Finanzas se detallan a continuación:</w:t>
      </w:r>
    </w:p>
    <w:p w14:paraId="09A871C2" w14:textId="77777777"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 xml:space="preserve">Descripción de los riesgos asociados a la emisión: </w:t>
      </w:r>
    </w:p>
    <w:p w14:paraId="1E20E490" w14:textId="77777777" w:rsidR="002817B6" w:rsidRDefault="002817B6" w:rsidP="002817B6">
      <w:pPr>
        <w:rPr>
          <w:rFonts w:ascii="Arial" w:eastAsia="ヒラギノ角ゴ Pro W3" w:hAnsi="Arial" w:cs="Arial"/>
          <w:sz w:val="20"/>
          <w:szCs w:val="22"/>
          <w:lang w:eastAsia="en-US"/>
        </w:rPr>
      </w:pPr>
    </w:p>
    <w:p w14:paraId="6EED2DEB" w14:textId="77777777" w:rsidR="002817B6" w:rsidRDefault="002817B6" w:rsidP="002817B6">
      <w:pPr>
        <w:rPr>
          <w:rFonts w:ascii="Arial" w:eastAsia="ヒラギノ角ゴ Pro W3" w:hAnsi="Arial" w:cs="Arial"/>
          <w:b/>
          <w:bCs/>
          <w:i/>
          <w:iCs/>
          <w:sz w:val="20"/>
          <w:szCs w:val="22"/>
          <w:u w:val="single"/>
          <w:lang w:eastAsia="en-US"/>
        </w:rPr>
      </w:pPr>
      <w:r>
        <w:rPr>
          <w:rFonts w:ascii="Arial" w:eastAsia="ヒラギノ角ゴ Pro W3" w:hAnsi="Arial" w:cs="Arial"/>
          <w:b/>
          <w:bCs/>
          <w:i/>
          <w:iCs/>
          <w:sz w:val="20"/>
          <w:szCs w:val="22"/>
          <w:u w:val="single"/>
          <w:lang w:eastAsia="en-US"/>
        </w:rPr>
        <w:t>Riesgo operativo asociado a la emisión de bonos verdes</w:t>
      </w:r>
    </w:p>
    <w:p w14:paraId="1C0786C3" w14:textId="77777777" w:rsidR="002817B6" w:rsidRDefault="002817B6" w:rsidP="002817B6">
      <w:pPr>
        <w:rPr>
          <w:rFonts w:ascii="Arial" w:eastAsia="ヒラギノ角ゴ Pro W3" w:hAnsi="Arial" w:cs="Arial"/>
          <w:sz w:val="20"/>
          <w:szCs w:val="22"/>
          <w:lang w:eastAsia="en-US"/>
        </w:rPr>
      </w:pPr>
    </w:p>
    <w:p w14:paraId="67C99A04" w14:textId="5A3F84EB"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 xml:space="preserve">Este riesgo se refiere a </w:t>
      </w:r>
      <w:r w:rsidR="00624512">
        <w:rPr>
          <w:rFonts w:ascii="Arial" w:eastAsia="ヒラギノ角ゴ Pro W3" w:hAnsi="Arial" w:cs="Arial"/>
          <w:sz w:val="20"/>
          <w:szCs w:val="22"/>
          <w:lang w:eastAsia="en-US"/>
        </w:rPr>
        <w:t>eventuales</w:t>
      </w:r>
      <w:r>
        <w:rPr>
          <w:rFonts w:ascii="Arial" w:eastAsia="ヒラギノ角ゴ Pro W3" w:hAnsi="Arial" w:cs="Arial"/>
          <w:sz w:val="20"/>
          <w:szCs w:val="22"/>
          <w:lang w:eastAsia="en-US"/>
        </w:rPr>
        <w:t xml:space="preserve"> debilidades en el cumplimiento de los </w:t>
      </w:r>
      <w:r w:rsidR="00624512">
        <w:rPr>
          <w:rFonts w:ascii="Arial" w:eastAsia="ヒラギノ角ゴ Pro W3" w:hAnsi="Arial" w:cs="Arial"/>
          <w:sz w:val="20"/>
          <w:szCs w:val="22"/>
          <w:lang w:eastAsia="en-US"/>
        </w:rPr>
        <w:t>criterios establecidos en el Marco de Gestión y en el Informe de Segunda Opinión del Bono Verde asociado a la PHR</w:t>
      </w:r>
      <w:r>
        <w:rPr>
          <w:rFonts w:ascii="Arial" w:eastAsia="ヒラギノ角ゴ Pro W3" w:hAnsi="Arial" w:cs="Arial"/>
          <w:sz w:val="20"/>
          <w:szCs w:val="22"/>
          <w:lang w:eastAsia="en-US"/>
        </w:rPr>
        <w:t>, que present</w:t>
      </w:r>
      <w:r w:rsidR="00624512">
        <w:rPr>
          <w:rFonts w:ascii="Arial" w:eastAsia="ヒラギノ角ゴ Pro W3" w:hAnsi="Arial" w:cs="Arial"/>
          <w:sz w:val="20"/>
          <w:szCs w:val="22"/>
          <w:lang w:eastAsia="en-US"/>
        </w:rPr>
        <w:t>e</w:t>
      </w:r>
      <w:r>
        <w:rPr>
          <w:rFonts w:ascii="Arial" w:eastAsia="ヒラギノ角ゴ Pro W3" w:hAnsi="Arial" w:cs="Arial"/>
          <w:sz w:val="20"/>
          <w:szCs w:val="22"/>
          <w:lang w:eastAsia="en-US"/>
        </w:rPr>
        <w:t xml:space="preserve"> la entidad y que impli</w:t>
      </w:r>
      <w:r w:rsidR="00624512">
        <w:rPr>
          <w:rFonts w:ascii="Arial" w:eastAsia="ヒラギノ角ゴ Pro W3" w:hAnsi="Arial" w:cs="Arial"/>
          <w:sz w:val="20"/>
          <w:szCs w:val="22"/>
          <w:lang w:eastAsia="en-US"/>
        </w:rPr>
        <w:t>quen</w:t>
      </w:r>
      <w:r>
        <w:rPr>
          <w:rFonts w:ascii="Arial" w:eastAsia="ヒラギノ角ゴ Pro W3" w:hAnsi="Arial" w:cs="Arial"/>
          <w:sz w:val="20"/>
          <w:szCs w:val="22"/>
          <w:lang w:eastAsia="en-US"/>
        </w:rPr>
        <w:t xml:space="preserve"> establecer acciones que en futuro le permitan obtener un  mayor grado de cumplimiento,  </w:t>
      </w:r>
      <w:r w:rsidR="00624512">
        <w:rPr>
          <w:rFonts w:ascii="Arial" w:eastAsia="ヒラギノ角ゴ Pro W3" w:hAnsi="Arial" w:cs="Arial"/>
          <w:sz w:val="20"/>
          <w:szCs w:val="22"/>
          <w:lang w:eastAsia="en-US"/>
        </w:rPr>
        <w:t>como por ejemplo revisar y reforzar</w:t>
      </w:r>
      <w:r>
        <w:rPr>
          <w:rFonts w:ascii="Arial" w:eastAsia="ヒラギノ角ゴ Pro W3" w:hAnsi="Arial" w:cs="Arial"/>
          <w:sz w:val="20"/>
          <w:szCs w:val="22"/>
          <w:lang w:eastAsia="en-US"/>
        </w:rPr>
        <w:t xml:space="preserve"> los procedimientos de desarrollo de  las métricas particulares de</w:t>
      </w:r>
      <w:r w:rsidR="00624512">
        <w:rPr>
          <w:rFonts w:ascii="Arial" w:eastAsia="ヒラギノ角ゴ Pro W3" w:hAnsi="Arial" w:cs="Arial"/>
          <w:sz w:val="20"/>
          <w:szCs w:val="22"/>
          <w:lang w:eastAsia="en-US"/>
        </w:rPr>
        <w:t xml:space="preserve"> la PHR,</w:t>
      </w:r>
      <w:r>
        <w:rPr>
          <w:rFonts w:ascii="Arial" w:eastAsia="ヒラギノ角ゴ Pro W3" w:hAnsi="Arial" w:cs="Arial"/>
          <w:sz w:val="20"/>
          <w:szCs w:val="22"/>
          <w:lang w:eastAsia="en-US"/>
        </w:rPr>
        <w:t xml:space="preserve"> su contribución al cumplimiento de las metas de los ODS; además de </w:t>
      </w:r>
      <w:r w:rsidR="00624512">
        <w:rPr>
          <w:rFonts w:ascii="Arial" w:eastAsia="ヒラギノ角ゴ Pro W3" w:hAnsi="Arial" w:cs="Arial"/>
          <w:sz w:val="20"/>
          <w:szCs w:val="22"/>
          <w:lang w:eastAsia="en-US"/>
        </w:rPr>
        <w:t>revisar</w:t>
      </w:r>
      <w:r>
        <w:rPr>
          <w:rFonts w:ascii="Arial" w:eastAsia="ヒラギノ角ゴ Pro W3" w:hAnsi="Arial" w:cs="Arial"/>
          <w:sz w:val="20"/>
          <w:szCs w:val="22"/>
          <w:lang w:eastAsia="en-US"/>
        </w:rPr>
        <w:t xml:space="preserve"> formaliza</w:t>
      </w:r>
      <w:r w:rsidR="00624512">
        <w:rPr>
          <w:rFonts w:ascii="Arial" w:eastAsia="ヒラギノ角ゴ Pro W3" w:hAnsi="Arial" w:cs="Arial"/>
          <w:sz w:val="20"/>
          <w:szCs w:val="22"/>
          <w:lang w:eastAsia="en-US"/>
        </w:rPr>
        <w:t>ción</w:t>
      </w:r>
      <w:r>
        <w:rPr>
          <w:rFonts w:ascii="Arial" w:eastAsia="ヒラギノ角ゴ Pro W3" w:hAnsi="Arial" w:cs="Arial"/>
          <w:sz w:val="20"/>
          <w:szCs w:val="22"/>
          <w:lang w:eastAsia="en-US"/>
        </w:rPr>
        <w:t xml:space="preserve"> los equipos y comités encargados de realizar dichos procedimientos. En caso de materializarse este riesgo, podrían afectar la claridad de la información y la transparencia para el inversionista.</w:t>
      </w:r>
    </w:p>
    <w:p w14:paraId="3C26679E" w14:textId="77777777" w:rsidR="002817B6" w:rsidRDefault="002817B6" w:rsidP="002817B6">
      <w:pPr>
        <w:rPr>
          <w:rFonts w:ascii="Arial" w:eastAsia="ヒラギノ角ゴ Pro W3" w:hAnsi="Arial" w:cs="Arial"/>
          <w:sz w:val="20"/>
          <w:szCs w:val="22"/>
          <w:lang w:eastAsia="en-US"/>
        </w:rPr>
      </w:pPr>
    </w:p>
    <w:p w14:paraId="2861DBE9" w14:textId="77777777" w:rsidR="002817B6" w:rsidRDefault="002817B6" w:rsidP="002817B6">
      <w:pPr>
        <w:rPr>
          <w:rFonts w:ascii="Arial" w:eastAsia="ヒラギノ角ゴ Pro W3" w:hAnsi="Arial" w:cs="Arial"/>
          <w:b/>
          <w:bCs/>
          <w:i/>
          <w:iCs/>
          <w:sz w:val="20"/>
          <w:szCs w:val="22"/>
          <w:u w:val="single"/>
          <w:lang w:eastAsia="en-US"/>
        </w:rPr>
      </w:pPr>
      <w:r>
        <w:rPr>
          <w:rFonts w:ascii="Arial" w:eastAsia="ヒラギノ角ゴ Pro W3" w:hAnsi="Arial" w:cs="Arial"/>
          <w:b/>
          <w:bCs/>
          <w:i/>
          <w:iCs/>
          <w:sz w:val="20"/>
          <w:szCs w:val="22"/>
          <w:u w:val="single"/>
          <w:lang w:eastAsia="en-US"/>
        </w:rPr>
        <w:t>Riesgo Uso de los fondos</w:t>
      </w:r>
    </w:p>
    <w:p w14:paraId="4D3E465F" w14:textId="77777777" w:rsidR="002817B6" w:rsidRDefault="002817B6" w:rsidP="002817B6">
      <w:pPr>
        <w:rPr>
          <w:rFonts w:ascii="Arial" w:eastAsia="ヒラギノ角ゴ Pro W3" w:hAnsi="Arial" w:cs="Arial"/>
          <w:sz w:val="20"/>
          <w:szCs w:val="22"/>
          <w:lang w:eastAsia="en-US"/>
        </w:rPr>
      </w:pPr>
    </w:p>
    <w:p w14:paraId="691E8459" w14:textId="3BC609E2"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 xml:space="preserve">Este riesgo se presentaría en caso de que la entidad utilice los fondos captados para otros fines distintos a </w:t>
      </w:r>
      <w:r w:rsidR="00624512">
        <w:rPr>
          <w:rFonts w:ascii="Arial" w:eastAsia="ヒラギノ角ゴ Pro W3" w:hAnsi="Arial" w:cs="Arial"/>
          <w:sz w:val="20"/>
          <w:szCs w:val="22"/>
          <w:lang w:eastAsia="en-US"/>
        </w:rPr>
        <w:t xml:space="preserve">la refinanciación parcial de la PHR </w:t>
      </w:r>
      <w:r>
        <w:rPr>
          <w:rFonts w:ascii="Arial" w:eastAsia="ヒラギノ角ゴ Pro W3" w:hAnsi="Arial" w:cs="Arial"/>
          <w:sz w:val="20"/>
          <w:szCs w:val="22"/>
          <w:lang w:eastAsia="en-US"/>
        </w:rPr>
        <w:t>que t</w:t>
      </w:r>
      <w:r w:rsidR="00624512">
        <w:rPr>
          <w:rFonts w:ascii="Arial" w:eastAsia="ヒラギノ角ゴ Pro W3" w:hAnsi="Arial" w:cs="Arial"/>
          <w:sz w:val="20"/>
          <w:szCs w:val="22"/>
          <w:lang w:eastAsia="en-US"/>
        </w:rPr>
        <w:t>iene</w:t>
      </w:r>
      <w:r>
        <w:rPr>
          <w:rFonts w:ascii="Arial" w:eastAsia="ヒラギノ角ゴ Pro W3" w:hAnsi="Arial" w:cs="Arial"/>
          <w:sz w:val="20"/>
          <w:szCs w:val="22"/>
          <w:lang w:eastAsia="en-US"/>
        </w:rPr>
        <w:t xml:space="preserve"> un impacto ambiental positivo. Este riesgo puede tener incidencia en la imagen del emisor por la falta de transparencia y afecte la credibilidad de este tipo de productos. Una afectación a la imagen del emisor se traduce en el desempeño del mercado y de los productos que gestiona, lo cual puede afectar a los inversionistas.  </w:t>
      </w:r>
    </w:p>
    <w:p w14:paraId="52C8425E" w14:textId="77777777" w:rsidR="002817B6" w:rsidRDefault="002817B6" w:rsidP="002817B6">
      <w:pPr>
        <w:rPr>
          <w:rFonts w:ascii="Arial" w:eastAsia="ヒラギノ角ゴ Pro W3" w:hAnsi="Arial" w:cs="Arial"/>
          <w:sz w:val="20"/>
          <w:szCs w:val="22"/>
          <w:lang w:eastAsia="en-US"/>
        </w:rPr>
      </w:pPr>
    </w:p>
    <w:p w14:paraId="67A6E989" w14:textId="77777777" w:rsidR="002817B6" w:rsidRDefault="002817B6" w:rsidP="002817B6">
      <w:pPr>
        <w:rPr>
          <w:rFonts w:ascii="Arial" w:eastAsia="ヒラギノ角ゴ Pro W3" w:hAnsi="Arial" w:cs="Arial"/>
          <w:b/>
          <w:bCs/>
          <w:i/>
          <w:iCs/>
          <w:sz w:val="20"/>
          <w:szCs w:val="22"/>
          <w:u w:val="single"/>
          <w:lang w:eastAsia="en-US"/>
        </w:rPr>
      </w:pPr>
      <w:r>
        <w:rPr>
          <w:rFonts w:ascii="Arial" w:eastAsia="ヒラギノ角ゴ Pro W3" w:hAnsi="Arial" w:cs="Arial"/>
          <w:b/>
          <w:bCs/>
          <w:i/>
          <w:iCs/>
          <w:sz w:val="20"/>
          <w:szCs w:val="22"/>
          <w:u w:val="single"/>
          <w:lang w:eastAsia="en-US"/>
        </w:rPr>
        <w:t>Riesgo de Desastres Naturales</w:t>
      </w:r>
    </w:p>
    <w:p w14:paraId="095A215D" w14:textId="77777777" w:rsidR="002817B6" w:rsidRDefault="002817B6" w:rsidP="002817B6">
      <w:pPr>
        <w:rPr>
          <w:rFonts w:ascii="Arial" w:eastAsia="ヒラギノ角ゴ Pro W3" w:hAnsi="Arial" w:cs="Arial"/>
          <w:b/>
          <w:bCs/>
          <w:i/>
          <w:iCs/>
          <w:sz w:val="20"/>
          <w:szCs w:val="22"/>
          <w:u w:val="single"/>
          <w:lang w:eastAsia="en-US"/>
        </w:rPr>
      </w:pPr>
    </w:p>
    <w:p w14:paraId="252CA2B9" w14:textId="2F240271" w:rsidR="00297CCB" w:rsidRDefault="00297CCB" w:rsidP="00297CCB">
      <w:pPr>
        <w:rPr>
          <w:rFonts w:ascii="Arial" w:hAnsi="Arial" w:cs="Arial"/>
          <w:sz w:val="20"/>
          <w:szCs w:val="20"/>
          <w:lang w:val="es-CR" w:eastAsia="en-US"/>
        </w:rPr>
      </w:pPr>
      <w:r>
        <w:rPr>
          <w:rFonts w:ascii="Arial" w:hAnsi="Arial" w:cs="Arial"/>
          <w:sz w:val="20"/>
          <w:szCs w:val="20"/>
        </w:rPr>
        <w:t>En general la PHR a refinanciar está expuesta a eventos naturales significativos que pudiesen presentarse, por ejemplo, de índole hidrometeorológico, sismológico, entre otros, por lo que eventualmente alguno de esos eventos naturales con dimensiones significativas, podrían afectar adversamente la operación del activo verde e impactar la condición financiera del Emisor, así como afectar la capacidad de pago a los inversionistas.</w:t>
      </w:r>
    </w:p>
    <w:p w14:paraId="66FA9453" w14:textId="77777777" w:rsidR="002817B6" w:rsidRDefault="002817B6" w:rsidP="002817B6">
      <w:pPr>
        <w:rPr>
          <w:rFonts w:ascii="Arial" w:eastAsia="ヒラギノ角ゴ Pro W3" w:hAnsi="Arial" w:cs="Arial"/>
          <w:sz w:val="20"/>
          <w:szCs w:val="22"/>
          <w:lang w:eastAsia="en-US"/>
        </w:rPr>
      </w:pPr>
    </w:p>
    <w:p w14:paraId="36191509" w14:textId="77777777" w:rsidR="002817B6" w:rsidRDefault="002817B6" w:rsidP="002817B6">
      <w:pPr>
        <w:rPr>
          <w:rFonts w:ascii="Arial" w:eastAsia="ヒラギノ角ゴ Pro W3" w:hAnsi="Arial" w:cs="Arial"/>
          <w:b/>
          <w:bCs/>
          <w:i/>
          <w:iCs/>
          <w:sz w:val="20"/>
          <w:szCs w:val="22"/>
          <w:u w:val="single"/>
          <w:lang w:eastAsia="en-US"/>
        </w:rPr>
      </w:pPr>
      <w:r>
        <w:rPr>
          <w:rFonts w:ascii="Arial" w:eastAsia="ヒラギノ角ゴ Pro W3" w:hAnsi="Arial" w:cs="Arial"/>
          <w:b/>
          <w:bCs/>
          <w:i/>
          <w:iCs/>
          <w:sz w:val="20"/>
          <w:szCs w:val="22"/>
          <w:u w:val="single"/>
          <w:lang w:eastAsia="en-US"/>
        </w:rPr>
        <w:t>Ausencia de historial operativo del Emisor en la emisión de bonos verdes</w:t>
      </w:r>
    </w:p>
    <w:p w14:paraId="7B48CEC9" w14:textId="77777777" w:rsidR="002817B6" w:rsidRDefault="002817B6" w:rsidP="002817B6">
      <w:pPr>
        <w:rPr>
          <w:rFonts w:ascii="Arial" w:eastAsia="ヒラギノ角ゴ Pro W3" w:hAnsi="Arial" w:cs="Arial"/>
          <w:sz w:val="20"/>
          <w:szCs w:val="22"/>
          <w:lang w:eastAsia="en-US"/>
        </w:rPr>
      </w:pPr>
    </w:p>
    <w:p w14:paraId="3331F107" w14:textId="340ABBD2"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 xml:space="preserve">A nivel Nacional se han desarrollado pocas emisiones en bonos verdes, el emisor está incursionando en su primera emisión de este tipo. Esta ausencia de experiencia podría traducirse en problemas operativos relacionados con el uso de los fondos, </w:t>
      </w:r>
      <w:r w:rsidR="006A116E">
        <w:rPr>
          <w:rFonts w:ascii="Arial" w:eastAsia="ヒラギノ角ゴ Pro W3" w:hAnsi="Arial" w:cs="Arial"/>
          <w:sz w:val="20"/>
          <w:szCs w:val="22"/>
          <w:lang w:eastAsia="en-US"/>
        </w:rPr>
        <w:t xml:space="preserve">que de acuerdo con </w:t>
      </w:r>
      <w:r>
        <w:rPr>
          <w:rFonts w:ascii="Arial" w:eastAsia="ヒラギノ角ゴ Pro W3" w:hAnsi="Arial" w:cs="Arial"/>
          <w:sz w:val="20"/>
          <w:szCs w:val="22"/>
          <w:lang w:eastAsia="en-US"/>
        </w:rPr>
        <w:t xml:space="preserve">el proceso de selección y administración </w:t>
      </w:r>
      <w:r w:rsidR="006A116E">
        <w:rPr>
          <w:rFonts w:ascii="Arial" w:eastAsia="ヒラギノ角ゴ Pro W3" w:hAnsi="Arial" w:cs="Arial"/>
          <w:sz w:val="20"/>
          <w:szCs w:val="22"/>
          <w:lang w:eastAsia="en-US"/>
        </w:rPr>
        <w:t>planteado de la PHR</w:t>
      </w:r>
      <w:r>
        <w:rPr>
          <w:rFonts w:ascii="Arial" w:eastAsia="ヒラギノ角ゴ Pro W3" w:hAnsi="Arial" w:cs="Arial"/>
          <w:sz w:val="20"/>
          <w:szCs w:val="22"/>
          <w:lang w:eastAsia="en-US"/>
        </w:rPr>
        <w:t xml:space="preserve">, la gestión de los fondos y la publicación de informes </w:t>
      </w:r>
      <w:r w:rsidR="006A116E">
        <w:rPr>
          <w:rFonts w:ascii="Arial" w:eastAsia="ヒラギノ角ゴ Pro W3" w:hAnsi="Arial" w:cs="Arial"/>
          <w:sz w:val="20"/>
          <w:szCs w:val="22"/>
          <w:lang w:eastAsia="en-US"/>
        </w:rPr>
        <w:t>debe tener</w:t>
      </w:r>
      <w:r>
        <w:rPr>
          <w:rFonts w:ascii="Arial" w:eastAsia="ヒラギノ角ゴ Pro W3" w:hAnsi="Arial" w:cs="Arial"/>
          <w:sz w:val="20"/>
          <w:szCs w:val="22"/>
          <w:lang w:eastAsia="en-US"/>
        </w:rPr>
        <w:t xml:space="preserve"> la claridad de la información y la transparencia para el inversionista para tomar sus decisiones de inversión.</w:t>
      </w:r>
    </w:p>
    <w:p w14:paraId="1DF864B3" w14:textId="77777777" w:rsidR="002817B6" w:rsidRDefault="002817B6" w:rsidP="002817B6">
      <w:pPr>
        <w:rPr>
          <w:rFonts w:ascii="Arial" w:eastAsia="ヒラギノ角ゴ Pro W3" w:hAnsi="Arial" w:cs="Arial"/>
          <w:sz w:val="20"/>
          <w:szCs w:val="22"/>
          <w:lang w:eastAsia="en-US"/>
        </w:rPr>
      </w:pPr>
    </w:p>
    <w:p w14:paraId="5D3BE19F" w14:textId="77777777" w:rsidR="002817B6" w:rsidRDefault="002817B6" w:rsidP="002817B6">
      <w:pPr>
        <w:rPr>
          <w:rFonts w:ascii="Arial" w:eastAsia="ヒラギノ角ゴ Pro W3" w:hAnsi="Arial" w:cs="Arial"/>
          <w:b/>
          <w:bCs/>
          <w:i/>
          <w:iCs/>
          <w:sz w:val="20"/>
          <w:szCs w:val="22"/>
          <w:u w:val="single"/>
          <w:lang w:eastAsia="en-US"/>
        </w:rPr>
      </w:pPr>
      <w:r>
        <w:rPr>
          <w:rFonts w:ascii="Arial" w:eastAsia="ヒラギノ角ゴ Pro W3" w:hAnsi="Arial" w:cs="Arial"/>
          <w:b/>
          <w:bCs/>
          <w:i/>
          <w:iCs/>
          <w:sz w:val="20"/>
          <w:szCs w:val="22"/>
          <w:u w:val="single"/>
          <w:lang w:eastAsia="en-US"/>
        </w:rPr>
        <w:t>Débil revelación contable</w:t>
      </w:r>
    </w:p>
    <w:p w14:paraId="5D4B6C3F" w14:textId="77777777" w:rsidR="002817B6" w:rsidRDefault="002817B6" w:rsidP="002817B6">
      <w:pPr>
        <w:rPr>
          <w:rFonts w:ascii="Arial" w:eastAsia="ヒラギノ角ゴ Pro W3" w:hAnsi="Arial" w:cs="Arial"/>
          <w:sz w:val="20"/>
          <w:szCs w:val="22"/>
          <w:lang w:eastAsia="en-US"/>
        </w:rPr>
      </w:pPr>
    </w:p>
    <w:p w14:paraId="3184A4C6" w14:textId="4A12BE05" w:rsidR="002817B6" w:rsidRDefault="002817B6" w:rsidP="002817B6">
      <w:pPr>
        <w:rPr>
          <w:rFonts w:ascii="Arial" w:eastAsia="ヒラギノ角ゴ Pro W3" w:hAnsi="Arial" w:cs="Arial"/>
          <w:sz w:val="20"/>
          <w:szCs w:val="22"/>
          <w:lang w:eastAsia="en-US"/>
        </w:rPr>
      </w:pPr>
      <w:r>
        <w:rPr>
          <w:rFonts w:ascii="Arial" w:eastAsia="ヒラギノ角ゴ Pro W3" w:hAnsi="Arial" w:cs="Arial"/>
          <w:sz w:val="20"/>
          <w:szCs w:val="22"/>
          <w:lang w:eastAsia="en-US"/>
        </w:rPr>
        <w:t>Este riesgo se presenta en caso de que la entidad no pueda llevar una separación contable</w:t>
      </w:r>
      <w:r w:rsidR="006A116E">
        <w:rPr>
          <w:rFonts w:ascii="Arial" w:eastAsia="ヒラギノ角ゴ Pro W3" w:hAnsi="Arial" w:cs="Arial"/>
          <w:sz w:val="20"/>
          <w:szCs w:val="22"/>
          <w:lang w:eastAsia="en-US"/>
        </w:rPr>
        <w:t xml:space="preserve"> más allá de lo establecido en las NIIF</w:t>
      </w:r>
      <w:r>
        <w:rPr>
          <w:rFonts w:ascii="Arial" w:eastAsia="ヒラギノ角ゴ Pro W3" w:hAnsi="Arial" w:cs="Arial"/>
          <w:sz w:val="20"/>
          <w:szCs w:val="22"/>
          <w:lang w:eastAsia="en-US"/>
        </w:rPr>
        <w:t xml:space="preserve"> del uso de los fondos y que no pueda ser controlables por emisor, y que, por tanto, los recursos no estén vinculados </w:t>
      </w:r>
      <w:r w:rsidR="006A116E">
        <w:rPr>
          <w:rFonts w:ascii="Arial" w:eastAsia="ヒラギノ角ゴ Pro W3" w:hAnsi="Arial" w:cs="Arial"/>
          <w:sz w:val="20"/>
          <w:szCs w:val="22"/>
          <w:lang w:eastAsia="en-US"/>
        </w:rPr>
        <w:t>al refinanciamiento de la PHR</w:t>
      </w:r>
      <w:r>
        <w:rPr>
          <w:rFonts w:ascii="Arial" w:eastAsia="ヒラギノ角ゴ Pro W3" w:hAnsi="Arial" w:cs="Arial"/>
          <w:sz w:val="20"/>
          <w:szCs w:val="22"/>
          <w:lang w:eastAsia="en-US"/>
        </w:rPr>
        <w:t>. Para los inversionistas es de vital importancia la información que se revele sobre la gestión de la emisión, y que esté alineada a los principios de transparencia y revelación. En caso de materializarse este riesgo podría afectar la claridad de la información y la transparencia para el inversionista para tomar sus decisiones de inversión.</w:t>
      </w:r>
    </w:p>
    <w:p w14:paraId="48B20B62" w14:textId="77777777" w:rsidR="002817B6" w:rsidRDefault="002817B6" w:rsidP="002817B6">
      <w:pPr>
        <w:rPr>
          <w:rFonts w:ascii="Arial" w:eastAsia="ヒラギノ角ゴ Pro W3" w:hAnsi="Arial" w:cs="Arial"/>
          <w:sz w:val="20"/>
          <w:szCs w:val="22"/>
          <w:lang w:eastAsia="en-US"/>
        </w:rPr>
      </w:pPr>
    </w:p>
    <w:p w14:paraId="5609248C" w14:textId="77777777" w:rsidR="007A4AED" w:rsidRDefault="007A4AED" w:rsidP="007A4AED">
      <w:pPr>
        <w:spacing w:after="160"/>
        <w:rPr>
          <w:rFonts w:ascii="Arial" w:eastAsia="ヒラギノ角ゴ Pro W3" w:hAnsi="Arial" w:cs="Arial"/>
          <w:b/>
          <w:sz w:val="20"/>
          <w:lang w:val="es-ES_tradnl" w:eastAsia="es-ES_tradnl"/>
        </w:rPr>
      </w:pPr>
      <w:r>
        <w:rPr>
          <w:rFonts w:ascii="Arial" w:eastAsia="ヒラギノ角ゴ Pro W3" w:hAnsi="Arial" w:cs="Arial"/>
          <w:b/>
          <w:sz w:val="20"/>
          <w:lang w:val="es-ES_tradnl" w:eastAsia="es-ES_tradnl"/>
        </w:rPr>
        <w:t xml:space="preserve">1.1.2.1. Administración de los riesgos asociados a la emisión </w:t>
      </w:r>
    </w:p>
    <w:p w14:paraId="37CBE554"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b/>
          <w:i/>
          <w:sz w:val="20"/>
          <w:lang w:val="es-ES_tradnl" w:eastAsia="es-ES_tradnl"/>
        </w:rPr>
        <w:t>Riesgo operativo asociado a la emisión de bonos verdes</w:t>
      </w:r>
      <w:r>
        <w:rPr>
          <w:rFonts w:ascii="Arial" w:eastAsia="ヒラギノ角ゴ Pro W3" w:hAnsi="Arial" w:cs="Arial"/>
          <w:sz w:val="20"/>
          <w:lang w:val="es-ES_tradnl" w:eastAsia="es-ES_tradnl"/>
        </w:rPr>
        <w:t>:</w:t>
      </w:r>
    </w:p>
    <w:p w14:paraId="24299285"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69E6CB56" w14:textId="2DA21B40"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En el caso particular del ICE como emisor, todos los procesos se ven fortalecidos por la formalidad de la estructura de gobernanza tanto para la selección y evaluación del activo PHR como por el uso de los recursos, además de que cuenta con áreas especializadas en el ámbito socio ambiental, que se mantienen a la vanguardia en cuanto al desarrollo de métricas y cumplimiento de metas y su contribución al cumplimiento de los ODS.</w:t>
      </w:r>
    </w:p>
    <w:p w14:paraId="561385F9" w14:textId="77777777" w:rsidR="007A4AED" w:rsidRDefault="007A4AED" w:rsidP="007A4AED">
      <w:pPr>
        <w:spacing w:after="160"/>
        <w:rPr>
          <w:rFonts w:ascii="Arial" w:eastAsia="ヒラギノ角ゴ Pro W3" w:hAnsi="Arial" w:cs="Arial"/>
          <w:sz w:val="20"/>
          <w:lang w:val="es-ES_tradnl" w:eastAsia="es-ES_tradnl"/>
        </w:rPr>
      </w:pPr>
    </w:p>
    <w:p w14:paraId="4607723B" w14:textId="77777777" w:rsidR="007A4AED" w:rsidRDefault="007A4AED" w:rsidP="007A4AED">
      <w:pPr>
        <w:spacing w:after="160"/>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 xml:space="preserve">La estructura de modelo de gobierno corporativo permite, con base en el direccionamiento que se ejerce desde el Centro Corporativo, promover de forma colegiada la coordinación corporativa de las empresas, facilitando y permitiendo un flujo armonizado y estandarizado sobre temas de interés del Grupo ICE.  </w:t>
      </w:r>
    </w:p>
    <w:p w14:paraId="26B613EE" w14:textId="77777777" w:rsidR="007A4AED" w:rsidRDefault="007A4AED" w:rsidP="007A4AED">
      <w:pPr>
        <w:spacing w:after="160"/>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El Centro Corporativo tiene la función de emitir políticas corporativas y brindar orientación estratégica a las empresas. Además, le corresponde valorar los resultados de las estrategias establecidas y fomentar la unidad de propósito y dirección para el Grupo ICE.  El Centro Corporativo del Grupo ICE, como órgano colegiado, es el responsable de garantizar la unidad de propósito y dirección; y es liderado por el Consejo Directivo y la Presidencia Ejecutiva (órgano unipersonal de mayor jerarquía a nivel corporativo), con el acompañamiento en calidad de apoyo de la División de Estrategia en la planificación, organización coordinación, seguimiento y control de la gestión corporativa.</w:t>
      </w:r>
    </w:p>
    <w:p w14:paraId="32276AC7" w14:textId="77777777" w:rsidR="007A4AED" w:rsidRDefault="007A4AED" w:rsidP="007A4AED">
      <w:pPr>
        <w:spacing w:after="160" w:line="256" w:lineRule="auto"/>
        <w:contextualSpacing/>
        <w:rPr>
          <w:rFonts w:ascii="Arial" w:eastAsia="ヒラギノ角ゴ Pro W3" w:hAnsi="Arial" w:cs="Arial"/>
          <w:b/>
          <w:i/>
          <w:sz w:val="20"/>
          <w:lang w:val="es-ES_tradnl" w:eastAsia="es-ES_tradnl"/>
        </w:rPr>
      </w:pPr>
      <w:r>
        <w:rPr>
          <w:rFonts w:ascii="Arial" w:eastAsia="ヒラギノ角ゴ Pro W3" w:hAnsi="Arial" w:cs="Arial"/>
          <w:b/>
          <w:i/>
          <w:sz w:val="20"/>
          <w:lang w:val="es-ES_tradnl" w:eastAsia="es-ES_tradnl"/>
        </w:rPr>
        <w:t>Riesgo Uso de los fondos</w:t>
      </w:r>
    </w:p>
    <w:p w14:paraId="2D381B8D"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5C85C018" w14:textId="48BC7781" w:rsidR="007A4AED" w:rsidRDefault="007A4AED" w:rsidP="00CD40B2">
      <w:pPr>
        <w:spacing w:after="160"/>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 xml:space="preserve">En el caso del ICE, este riesgo se minimiza por contar con una estructura para la gobernanza de carácter formal y </w:t>
      </w:r>
      <w:r w:rsidR="00933C24">
        <w:rPr>
          <w:rFonts w:ascii="Arial" w:eastAsia="ヒラギノ角ゴ Pro W3" w:hAnsi="Arial" w:cs="Arial"/>
          <w:sz w:val="20"/>
          <w:lang w:val="es-ES_tradnl" w:eastAsia="es-ES_tradnl"/>
        </w:rPr>
        <w:t xml:space="preserve">aprobada por </w:t>
      </w:r>
      <w:r>
        <w:rPr>
          <w:rFonts w:ascii="Arial" w:eastAsia="ヒラギノ角ゴ Pro W3" w:hAnsi="Arial" w:cs="Arial"/>
          <w:sz w:val="20"/>
          <w:lang w:val="es-ES_tradnl" w:eastAsia="es-ES_tradnl"/>
        </w:rPr>
        <w:t>el Consejo Directivo</w:t>
      </w:r>
      <w:r w:rsidR="00933C24">
        <w:rPr>
          <w:rFonts w:ascii="Arial" w:eastAsia="ヒラギノ角ゴ Pro W3" w:hAnsi="Arial" w:cs="Arial"/>
          <w:sz w:val="20"/>
          <w:lang w:val="es-ES_tradnl" w:eastAsia="es-ES_tradnl"/>
        </w:rPr>
        <w:t xml:space="preserve"> del Emisor</w:t>
      </w:r>
      <w:r>
        <w:rPr>
          <w:rFonts w:ascii="Arial" w:eastAsia="ヒラギノ角ゴ Pro W3" w:hAnsi="Arial" w:cs="Arial"/>
          <w:sz w:val="20"/>
          <w:lang w:val="es-ES_tradnl" w:eastAsia="es-ES_tradnl"/>
        </w:rPr>
        <w:t>. Además, los recursos del bono se utilizarán en su totalidad para el refinanciamiento de un activo y pago de los vencimientos de eurobonos, lo que asegura que el uso de los fondos será el adecuado. Tal como se indica en el informe de Segunda Opinión, los fondos se administrarán en una cuenta separada y destinada para el manejo de recursos en un banco local en colones y se emitirá certificación de entrada y salida de los fondos que tengan relación con Bono Verde.</w:t>
      </w:r>
    </w:p>
    <w:p w14:paraId="12274AB0"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0868FFFB" w14:textId="77777777" w:rsidR="007A4AED" w:rsidRDefault="007A4AED" w:rsidP="007A4AED">
      <w:pPr>
        <w:spacing w:after="160" w:line="256" w:lineRule="auto"/>
        <w:contextualSpacing/>
        <w:rPr>
          <w:rFonts w:ascii="Arial" w:eastAsia="ヒラギノ角ゴ Pro W3" w:hAnsi="Arial" w:cs="Arial"/>
          <w:b/>
          <w:i/>
          <w:sz w:val="20"/>
          <w:lang w:val="es-ES_tradnl" w:eastAsia="es-ES_tradnl"/>
        </w:rPr>
      </w:pPr>
      <w:r>
        <w:rPr>
          <w:rFonts w:ascii="Arial" w:eastAsia="ヒラギノ角ゴ Pro W3" w:hAnsi="Arial" w:cs="Arial"/>
          <w:b/>
          <w:i/>
          <w:sz w:val="20"/>
          <w:lang w:val="es-ES_tradnl" w:eastAsia="es-ES_tradnl"/>
        </w:rPr>
        <w:t>Riesgo de Desastres Naturales</w:t>
      </w:r>
    </w:p>
    <w:p w14:paraId="3F3102F2"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564AD1AF" w14:textId="439BF612"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En la PHR del ICE, desde la etapa de diseño se considera</w:t>
      </w:r>
      <w:r w:rsidR="00B03B4B">
        <w:rPr>
          <w:rFonts w:ascii="Arial" w:eastAsia="ヒラギノ角ゴ Pro W3" w:hAnsi="Arial" w:cs="Arial"/>
          <w:sz w:val="20"/>
          <w:lang w:val="es-ES_tradnl" w:eastAsia="es-ES_tradnl"/>
        </w:rPr>
        <w:t>ro</w:t>
      </w:r>
      <w:r>
        <w:rPr>
          <w:rFonts w:ascii="Arial" w:eastAsia="ヒラギノ角ゴ Pro W3" w:hAnsi="Arial" w:cs="Arial"/>
          <w:sz w:val="20"/>
          <w:lang w:val="es-ES_tradnl" w:eastAsia="es-ES_tradnl"/>
        </w:rPr>
        <w:t>n escenarios que incluye</w:t>
      </w:r>
      <w:r w:rsidR="00B03B4B">
        <w:rPr>
          <w:rFonts w:ascii="Arial" w:eastAsia="ヒラギノ角ゴ Pro W3" w:hAnsi="Arial" w:cs="Arial"/>
          <w:sz w:val="20"/>
          <w:lang w:val="es-ES_tradnl" w:eastAsia="es-ES_tradnl"/>
        </w:rPr>
        <w:t>ro</w:t>
      </w:r>
      <w:r>
        <w:rPr>
          <w:rFonts w:ascii="Arial" w:eastAsia="ヒラギノ角ゴ Pro W3" w:hAnsi="Arial" w:cs="Arial"/>
          <w:sz w:val="20"/>
          <w:lang w:val="es-ES_tradnl" w:eastAsia="es-ES_tradnl"/>
        </w:rPr>
        <w:t xml:space="preserve">n eventos naturales extremos, por lo que el ICE como Emisor </w:t>
      </w:r>
      <w:r w:rsidR="00B03B4B">
        <w:rPr>
          <w:rFonts w:ascii="Arial" w:eastAsia="ヒラギノ角ゴ Pro W3" w:hAnsi="Arial" w:cs="Arial"/>
          <w:sz w:val="20"/>
          <w:lang w:val="es-ES_tradnl" w:eastAsia="es-ES_tradnl"/>
        </w:rPr>
        <w:t xml:space="preserve">tiene </w:t>
      </w:r>
      <w:r>
        <w:rPr>
          <w:rFonts w:ascii="Arial" w:eastAsia="ヒラギノ角ゴ Pro W3" w:hAnsi="Arial" w:cs="Arial"/>
          <w:sz w:val="20"/>
          <w:lang w:val="es-ES_tradnl" w:eastAsia="es-ES_tradnl"/>
        </w:rPr>
        <w:t>asegura</w:t>
      </w:r>
      <w:r w:rsidR="00B03B4B">
        <w:rPr>
          <w:rFonts w:ascii="Arial" w:eastAsia="ヒラギノ角ゴ Pro W3" w:hAnsi="Arial" w:cs="Arial"/>
          <w:sz w:val="20"/>
          <w:lang w:val="es-ES_tradnl" w:eastAsia="es-ES_tradnl"/>
        </w:rPr>
        <w:t>do</w:t>
      </w:r>
      <w:r>
        <w:rPr>
          <w:rFonts w:ascii="Arial" w:eastAsia="ヒラギノ角ゴ Pro W3" w:hAnsi="Arial" w:cs="Arial"/>
          <w:sz w:val="20"/>
          <w:lang w:val="es-ES_tradnl" w:eastAsia="es-ES_tradnl"/>
        </w:rPr>
        <w:t xml:space="preserve"> </w:t>
      </w:r>
      <w:r w:rsidR="00B03B4B">
        <w:rPr>
          <w:rFonts w:ascii="Arial" w:eastAsia="ヒラギノ角ゴ Pro W3" w:hAnsi="Arial" w:cs="Arial"/>
          <w:sz w:val="20"/>
          <w:lang w:val="es-ES_tradnl" w:eastAsia="es-ES_tradnl"/>
        </w:rPr>
        <w:t>el</w:t>
      </w:r>
      <w:r>
        <w:rPr>
          <w:rFonts w:ascii="Arial" w:eastAsia="ヒラギノ角ゴ Pro W3" w:hAnsi="Arial" w:cs="Arial"/>
          <w:sz w:val="20"/>
          <w:lang w:val="es-ES_tradnl" w:eastAsia="es-ES_tradnl"/>
        </w:rPr>
        <w:t xml:space="preserve"> activo </w:t>
      </w:r>
      <w:r w:rsidR="00413986">
        <w:rPr>
          <w:rFonts w:ascii="Arial" w:eastAsia="ヒラギノ角ゴ Pro W3" w:hAnsi="Arial" w:cs="Arial"/>
          <w:sz w:val="20"/>
          <w:lang w:val="es-ES_tradnl" w:eastAsia="es-ES_tradnl"/>
        </w:rPr>
        <w:t xml:space="preserve">PHR, </w:t>
      </w:r>
      <w:r>
        <w:rPr>
          <w:rFonts w:ascii="Arial" w:eastAsia="ヒラギノ角ゴ Pro W3" w:hAnsi="Arial" w:cs="Arial"/>
          <w:sz w:val="20"/>
          <w:lang w:val="es-ES_tradnl" w:eastAsia="es-ES_tradnl"/>
        </w:rPr>
        <w:t>de acuerdo con las prácticas internacionales de mercado para tales efectos.</w:t>
      </w:r>
    </w:p>
    <w:p w14:paraId="0F5B0344"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3198EF44" w14:textId="77777777" w:rsidR="007A4AED" w:rsidRDefault="007A4AED" w:rsidP="007A4AED">
      <w:pPr>
        <w:spacing w:line="256" w:lineRule="auto"/>
        <w:rPr>
          <w:rFonts w:ascii="Arial" w:eastAsia="ヒラギノ角ゴ Pro W3" w:hAnsi="Arial" w:cs="Arial"/>
          <w:b/>
          <w:i/>
          <w:sz w:val="20"/>
          <w:lang w:val="es-ES_tradnl" w:eastAsia="es-ES_tradnl"/>
        </w:rPr>
      </w:pPr>
      <w:r>
        <w:rPr>
          <w:rFonts w:ascii="Arial" w:eastAsia="ヒラギノ角ゴ Pro W3" w:hAnsi="Arial" w:cs="Arial"/>
          <w:b/>
          <w:i/>
          <w:sz w:val="20"/>
          <w:lang w:val="es-ES_tradnl" w:eastAsia="es-ES_tradnl"/>
        </w:rPr>
        <w:t>Ausencia de historial operativo del Emisor en la emisión de bonos verdes</w:t>
      </w:r>
    </w:p>
    <w:p w14:paraId="531FD9F2"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07F8F561"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El emisor cuenta con vasta experiencia en la colocación de bonos y emisiones estandarizadas a nivel nacional e internacional, lo que asegura un alto conocimiento en la estructuración y gestión de emisiones, adicionalmente, cuenta con personal con las competencias técnicas y experiencia requerida.</w:t>
      </w:r>
    </w:p>
    <w:p w14:paraId="74EA4341"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5A231D95"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Con el fin de garantizar el cumplimiento de los requisitos que competen al emisor del bono verde para la P.H. Reventazón, áreas técnicas en materia ambiental y social de la Gerencia de Electricidad del ICE  en coordinación con áreas especializadas de la Gerencia de Finanzas, se apoyaron en la prestación de servicios de dos firmas especializadas y en calidad de terceros independientes, que se encargaron de validar los criterios y sistemas establecidos para el uso y la gestión de los fondos, por lo que a través de la respectiva certificación es posible asegurar que este bono verde del ICE está alineado con los cuatro Principios de Bonos Verdes de ICMA, es creíble, transparente y compromete, y que el ICE como emisor, se compromete a informar de manera transparente sobre las métricas de impacto social y ambiental, y a avanzar hacia los ODS a lo largo de la vigencia del bono.</w:t>
      </w:r>
    </w:p>
    <w:p w14:paraId="1032B878"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540FA41A" w14:textId="77777777" w:rsidR="007A4AED" w:rsidRDefault="007A4AED" w:rsidP="007A4AED">
      <w:pPr>
        <w:spacing w:after="160" w:line="256" w:lineRule="auto"/>
        <w:contextualSpacing/>
        <w:rPr>
          <w:rFonts w:ascii="Arial" w:eastAsia="ヒラギノ角ゴ Pro W3" w:hAnsi="Arial" w:cs="Arial"/>
          <w:b/>
          <w:i/>
          <w:sz w:val="20"/>
          <w:lang w:val="es-ES_tradnl" w:eastAsia="es-ES_tradnl"/>
        </w:rPr>
      </w:pPr>
      <w:r>
        <w:rPr>
          <w:rFonts w:ascii="Arial" w:eastAsia="ヒラギノ角ゴ Pro W3" w:hAnsi="Arial" w:cs="Arial"/>
          <w:b/>
          <w:i/>
          <w:sz w:val="20"/>
          <w:lang w:val="es-ES_tradnl" w:eastAsia="es-ES_tradnl"/>
        </w:rPr>
        <w:t>Débil revelación contable</w:t>
      </w:r>
    </w:p>
    <w:p w14:paraId="77175A8D"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55F9BCA5" w14:textId="6608FE8D" w:rsidR="007A4AED" w:rsidRDefault="007A4AED" w:rsidP="007A4AED">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El emisor es auditado anualmente, se cuenta con cuentas contables ligadas a la Emisión</w:t>
      </w:r>
      <w:r w:rsidR="00933C24">
        <w:rPr>
          <w:rFonts w:ascii="Arial" w:eastAsia="ヒラギノ角ゴ Pro W3" w:hAnsi="Arial" w:cs="Arial"/>
          <w:sz w:val="20"/>
          <w:lang w:val="es-ES_tradnl" w:eastAsia="es-ES_tradnl"/>
        </w:rPr>
        <w:t xml:space="preserve"> de acuerdo</w:t>
      </w:r>
      <w:r>
        <w:rPr>
          <w:rFonts w:ascii="Arial" w:eastAsia="ヒラギノ角ゴ Pro W3" w:hAnsi="Arial" w:cs="Arial"/>
          <w:sz w:val="20"/>
          <w:lang w:val="es-ES_tradnl" w:eastAsia="es-ES_tradnl"/>
        </w:rPr>
        <w:t xml:space="preserve"> </w:t>
      </w:r>
      <w:r w:rsidR="00933C24">
        <w:rPr>
          <w:rFonts w:ascii="Arial" w:eastAsia="ヒラギノ角ゴ Pro W3" w:hAnsi="Arial" w:cs="Arial"/>
          <w:sz w:val="20"/>
          <w:lang w:val="es-ES_tradnl" w:eastAsia="es-ES_tradnl"/>
        </w:rPr>
        <w:t xml:space="preserve">con lo establecido en NIIF </w:t>
      </w:r>
      <w:r>
        <w:rPr>
          <w:rFonts w:ascii="Arial" w:eastAsia="ヒラギノ角ゴ Pro W3" w:hAnsi="Arial" w:cs="Arial"/>
          <w:sz w:val="20"/>
          <w:lang w:val="es-ES_tradnl" w:eastAsia="es-ES_tradnl"/>
        </w:rPr>
        <w:t xml:space="preserve">y se reportará lo actuado en el informe de segunda opinión, adicionalmente, </w:t>
      </w:r>
      <w:r w:rsidR="00933C24">
        <w:rPr>
          <w:rFonts w:ascii="Arial" w:eastAsia="ヒラギノ角ゴ Pro W3" w:hAnsi="Arial" w:cs="Arial"/>
          <w:sz w:val="20"/>
          <w:lang w:val="es-ES_tradnl" w:eastAsia="es-ES_tradnl"/>
        </w:rPr>
        <w:t>con el</w:t>
      </w:r>
      <w:r>
        <w:rPr>
          <w:rFonts w:ascii="Arial" w:eastAsia="ヒラギノ角ゴ Pro W3" w:hAnsi="Arial" w:cs="Arial"/>
          <w:sz w:val="20"/>
          <w:lang w:val="es-ES_tradnl" w:eastAsia="es-ES_tradnl"/>
        </w:rPr>
        <w:t xml:space="preserve"> procedimiento formal de administración</w:t>
      </w:r>
      <w:r w:rsidR="00933C24">
        <w:rPr>
          <w:rFonts w:ascii="Arial" w:eastAsia="ヒラギノ角ゴ Pro W3" w:hAnsi="Arial" w:cs="Arial"/>
          <w:sz w:val="20"/>
          <w:lang w:val="es-ES_tradnl" w:eastAsia="es-ES_tradnl"/>
        </w:rPr>
        <w:t xml:space="preserve"> que se tiene</w:t>
      </w:r>
      <w:r>
        <w:rPr>
          <w:rFonts w:ascii="Arial" w:eastAsia="ヒラギノ角ゴ Pro W3" w:hAnsi="Arial" w:cs="Arial"/>
          <w:sz w:val="20"/>
          <w:lang w:val="es-ES_tradnl" w:eastAsia="es-ES_tradnl"/>
        </w:rPr>
        <w:t>.</w:t>
      </w:r>
    </w:p>
    <w:p w14:paraId="68C6F5A8" w14:textId="77777777" w:rsidR="007A4AED" w:rsidRDefault="007A4AED" w:rsidP="007A4AED">
      <w:pPr>
        <w:spacing w:after="160" w:line="256" w:lineRule="auto"/>
        <w:contextualSpacing/>
        <w:rPr>
          <w:rFonts w:ascii="Arial" w:eastAsia="ヒラギノ角ゴ Pro W3" w:hAnsi="Arial" w:cs="Arial"/>
          <w:sz w:val="20"/>
          <w:lang w:val="es-ES_tradnl" w:eastAsia="es-ES_tradnl"/>
        </w:rPr>
      </w:pPr>
    </w:p>
    <w:p w14:paraId="33CB2791" w14:textId="77777777" w:rsidR="007A4AED" w:rsidRDefault="007A4AED" w:rsidP="007A4AED">
      <w:pPr>
        <w:spacing w:after="160"/>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Tal como se indica en el informe de Segunda Opinión, los fondos se administrarán en una cuenta separada y destinada para el manejo de recursos en un banco local en colones y se emitirá certificación de entrada y salida de los fondos que tengan relación con Bono Verde.</w:t>
      </w:r>
    </w:p>
    <w:p w14:paraId="716B8511" w14:textId="77777777" w:rsidR="002817B6" w:rsidRPr="00CD40B2" w:rsidRDefault="002817B6" w:rsidP="002817B6">
      <w:pPr>
        <w:rPr>
          <w:rFonts w:ascii="Arial" w:eastAsia="ヒラギノ角ゴ Pro W3" w:hAnsi="Arial" w:cs="Arial"/>
          <w:sz w:val="20"/>
          <w:szCs w:val="22"/>
          <w:lang w:val="es-ES_tradnl" w:eastAsia="en-US"/>
        </w:rPr>
      </w:pPr>
    </w:p>
    <w:p w14:paraId="44DCCE8B" w14:textId="77777777" w:rsidR="002817B6" w:rsidRPr="00603C5D" w:rsidRDefault="002817B6" w:rsidP="002817B6">
      <w:pPr>
        <w:pStyle w:val="Ttulo4"/>
        <w:rPr>
          <w:rFonts w:ascii="Arial" w:eastAsia="Batang" w:hAnsi="Arial"/>
          <w:sz w:val="20"/>
          <w:szCs w:val="20"/>
          <w:lang w:eastAsia="en-US"/>
        </w:rPr>
      </w:pPr>
      <w:r w:rsidRPr="00603C5D">
        <w:rPr>
          <w:rFonts w:ascii="Arial" w:hAnsi="Arial" w:cs="Arial"/>
          <w:sz w:val="20"/>
        </w:rPr>
        <w:t xml:space="preserve">3. </w:t>
      </w:r>
      <w:r w:rsidRPr="00603C5D">
        <w:rPr>
          <w:rFonts w:ascii="Arial" w:hAnsi="Arial"/>
          <w:sz w:val="20"/>
        </w:rPr>
        <w:t>Gestión de los fondos</w:t>
      </w:r>
    </w:p>
    <w:p w14:paraId="7469BF86" w14:textId="5036B4EA" w:rsidR="00933C24" w:rsidRDefault="002817B6" w:rsidP="002817B6">
      <w:pPr>
        <w:rPr>
          <w:rFonts w:ascii="Arial" w:hAnsi="Arial" w:cs="Arial"/>
          <w:sz w:val="20"/>
        </w:rPr>
      </w:pPr>
      <w:r>
        <w:rPr>
          <w:rFonts w:ascii="Arial" w:hAnsi="Arial" w:cs="Arial"/>
          <w:sz w:val="20"/>
        </w:rPr>
        <w:t>La gestión de los fondos netos resultantes de la emisión del Bono Verde se</w:t>
      </w:r>
      <w:r w:rsidR="00933C24">
        <w:rPr>
          <w:rFonts w:ascii="Arial" w:hAnsi="Arial" w:cs="Arial"/>
          <w:sz w:val="20"/>
        </w:rPr>
        <w:t>rá</w:t>
      </w:r>
      <w:r>
        <w:rPr>
          <w:rFonts w:ascii="Arial" w:hAnsi="Arial" w:cs="Arial"/>
          <w:sz w:val="20"/>
        </w:rPr>
        <w:t xml:space="preserve"> ejecuta</w:t>
      </w:r>
      <w:r w:rsidR="00933C24">
        <w:rPr>
          <w:rFonts w:ascii="Arial" w:hAnsi="Arial" w:cs="Arial"/>
          <w:sz w:val="20"/>
        </w:rPr>
        <w:t>da</w:t>
      </w:r>
      <w:r>
        <w:rPr>
          <w:rFonts w:ascii="Arial" w:hAnsi="Arial" w:cs="Arial"/>
          <w:sz w:val="20"/>
        </w:rPr>
        <w:t xml:space="preserve"> enteramente por la Gerencia de Finanzas del ICE, con la supervisión del Consejo Directivo de acuerdo con </w:t>
      </w:r>
      <w:r w:rsidR="00933C24">
        <w:rPr>
          <w:rFonts w:ascii="Arial" w:hAnsi="Arial" w:cs="Arial"/>
          <w:sz w:val="20"/>
        </w:rPr>
        <w:t>la estructura organizativa del Emisor.</w:t>
      </w:r>
    </w:p>
    <w:p w14:paraId="65EC7D97" w14:textId="079B85D4" w:rsidR="002817B6" w:rsidRDefault="002817B6" w:rsidP="002817B6">
      <w:pPr>
        <w:rPr>
          <w:rFonts w:ascii="Arial" w:hAnsi="Arial" w:cs="Arial"/>
          <w:sz w:val="20"/>
        </w:rPr>
      </w:pPr>
      <w:r>
        <w:rPr>
          <w:rFonts w:ascii="Arial" w:hAnsi="Arial" w:cs="Arial"/>
          <w:sz w:val="20"/>
        </w:rPr>
        <w:t xml:space="preserve"> </w:t>
      </w:r>
    </w:p>
    <w:p w14:paraId="3C9AF48E" w14:textId="7C2558F7" w:rsidR="002817B6" w:rsidRDefault="002817B6" w:rsidP="002817B6">
      <w:pPr>
        <w:rPr>
          <w:rFonts w:ascii="Arial" w:hAnsi="Arial" w:cs="Arial"/>
          <w:sz w:val="20"/>
        </w:rPr>
      </w:pPr>
      <w:r>
        <w:rPr>
          <w:rFonts w:ascii="Arial" w:hAnsi="Arial" w:cs="Arial"/>
          <w:sz w:val="20"/>
        </w:rPr>
        <w:t xml:space="preserve">Los fondos se administrarán en </w:t>
      </w:r>
      <w:r w:rsidR="00933C24">
        <w:rPr>
          <w:rFonts w:ascii="Arial" w:hAnsi="Arial" w:cs="Arial"/>
          <w:sz w:val="20"/>
        </w:rPr>
        <w:t>un</w:t>
      </w:r>
      <w:r>
        <w:rPr>
          <w:rFonts w:ascii="Arial" w:hAnsi="Arial" w:cs="Arial"/>
          <w:sz w:val="20"/>
        </w:rPr>
        <w:t xml:space="preserve">a cuenta de un banco local en colones y se emitirá certificación de entrada y salida de los fondos que tengan relación con el Bono Verde. </w:t>
      </w:r>
    </w:p>
    <w:p w14:paraId="0FEF4518" w14:textId="77777777" w:rsidR="00C17526" w:rsidRDefault="00C17526" w:rsidP="002817B6">
      <w:pPr>
        <w:rPr>
          <w:rFonts w:ascii="Arial" w:hAnsi="Arial" w:cs="Arial"/>
          <w:sz w:val="20"/>
        </w:rPr>
      </w:pPr>
    </w:p>
    <w:p w14:paraId="1FA4B83D" w14:textId="3DB5BDB6" w:rsidR="002817B6" w:rsidRDefault="002817B6" w:rsidP="002817B6">
      <w:pPr>
        <w:rPr>
          <w:rFonts w:ascii="Arial" w:hAnsi="Arial" w:cs="Arial"/>
          <w:sz w:val="20"/>
        </w:rPr>
      </w:pPr>
      <w:r>
        <w:rPr>
          <w:rFonts w:ascii="Arial" w:hAnsi="Arial" w:cs="Arial"/>
          <w:sz w:val="20"/>
        </w:rPr>
        <w:t xml:space="preserve">La Gerencia de Finanzas aplicará su sistema de transparencia y rendición de cuentas para garantizar que la totalidad de los </w:t>
      </w:r>
      <w:r w:rsidR="00933C24">
        <w:rPr>
          <w:rFonts w:ascii="Arial" w:hAnsi="Arial" w:cs="Arial"/>
          <w:sz w:val="20"/>
        </w:rPr>
        <w:t xml:space="preserve">ingresos netos del bono verde se utilizarán exclusivamente para </w:t>
      </w:r>
      <w:r>
        <w:rPr>
          <w:rFonts w:ascii="Arial" w:hAnsi="Arial" w:cs="Arial"/>
          <w:sz w:val="20"/>
        </w:rPr>
        <w:t>refinancia</w:t>
      </w:r>
      <w:r w:rsidR="00933C24">
        <w:rPr>
          <w:rFonts w:ascii="Arial" w:hAnsi="Arial" w:cs="Arial"/>
          <w:sz w:val="20"/>
        </w:rPr>
        <w:t>r una porción de la</w:t>
      </w:r>
      <w:r>
        <w:rPr>
          <w:rFonts w:ascii="Arial" w:hAnsi="Arial" w:cs="Arial"/>
          <w:sz w:val="20"/>
        </w:rPr>
        <w:t xml:space="preserve"> deuda existente</w:t>
      </w:r>
      <w:r w:rsidR="00933C24">
        <w:rPr>
          <w:rFonts w:ascii="Arial" w:hAnsi="Arial" w:cs="Arial"/>
          <w:sz w:val="20"/>
        </w:rPr>
        <w:t xml:space="preserve"> en relación con la construcción de la PHR</w:t>
      </w:r>
      <w:r>
        <w:rPr>
          <w:rFonts w:ascii="Arial" w:hAnsi="Arial" w:cs="Arial"/>
          <w:sz w:val="20"/>
        </w:rPr>
        <w:t>, sin quedar de este modo fondos netos no asignados</w:t>
      </w:r>
      <w:r w:rsidR="00933C24">
        <w:rPr>
          <w:rFonts w:ascii="Arial" w:hAnsi="Arial" w:cs="Arial"/>
          <w:sz w:val="20"/>
        </w:rPr>
        <w:t xml:space="preserve"> del bono verde, de manera que la</w:t>
      </w:r>
      <w:r>
        <w:rPr>
          <w:rFonts w:ascii="Arial" w:hAnsi="Arial" w:cs="Arial"/>
          <w:sz w:val="20"/>
        </w:rPr>
        <w:t xml:space="preserve"> política de transparencia </w:t>
      </w:r>
      <w:r w:rsidR="00933C24">
        <w:rPr>
          <w:rFonts w:ascii="Arial" w:hAnsi="Arial" w:cs="Arial"/>
          <w:sz w:val="20"/>
        </w:rPr>
        <w:t xml:space="preserve">del mencionado sistema </w:t>
      </w:r>
      <w:r>
        <w:rPr>
          <w:rFonts w:ascii="Arial" w:hAnsi="Arial" w:cs="Arial"/>
          <w:sz w:val="20"/>
        </w:rPr>
        <w:t>que tiene como propósito establecer: 1) los principios generales en materia de transparencia y acceso a la información, 2) la información obligatoria que debe publicar de manera proactiva las empresas del Grupo, 3) las responsabilidades que se derivan dentro de la organización en materia de transparencia y acceso a la información, y 4) los mecanismos para garantizar el derecho de acceso a la información pública a todas las personas, de manera activa y pasiva.</w:t>
      </w:r>
    </w:p>
    <w:p w14:paraId="0D3CCF09" w14:textId="77777777" w:rsidR="002817B6" w:rsidRDefault="002817B6" w:rsidP="002817B6">
      <w:pPr>
        <w:rPr>
          <w:rFonts w:ascii="Arial" w:hAnsi="Arial" w:cs="Arial"/>
          <w:sz w:val="20"/>
        </w:rPr>
      </w:pPr>
    </w:p>
    <w:p w14:paraId="70DF3BB2" w14:textId="77777777" w:rsidR="002817B6" w:rsidRPr="00603C5D" w:rsidRDefault="002817B6" w:rsidP="002817B6">
      <w:pPr>
        <w:pStyle w:val="Ttulo4"/>
        <w:rPr>
          <w:rFonts w:ascii="Arial" w:hAnsi="Arial"/>
          <w:sz w:val="20"/>
        </w:rPr>
      </w:pPr>
      <w:r w:rsidRPr="00603C5D">
        <w:rPr>
          <w:rFonts w:ascii="Arial" w:hAnsi="Arial" w:cs="Arial"/>
          <w:sz w:val="20"/>
        </w:rPr>
        <w:t xml:space="preserve">4. </w:t>
      </w:r>
      <w:r w:rsidRPr="00603C5D">
        <w:rPr>
          <w:rFonts w:ascii="Arial" w:hAnsi="Arial"/>
          <w:sz w:val="20"/>
        </w:rPr>
        <w:t>Publicación de informes</w:t>
      </w:r>
    </w:p>
    <w:p w14:paraId="3F021B0B" w14:textId="77777777" w:rsidR="002817B6" w:rsidRDefault="002817B6" w:rsidP="002817B6">
      <w:pPr>
        <w:pStyle w:val="Ttulo4"/>
        <w:rPr>
          <w:rFonts w:ascii="Arial" w:hAnsi="Arial" w:cs="Arial"/>
          <w:b w:val="0"/>
          <w:sz w:val="20"/>
        </w:rPr>
      </w:pPr>
    </w:p>
    <w:p w14:paraId="4ED446BE" w14:textId="77777777" w:rsidR="002817B6" w:rsidRDefault="002817B6" w:rsidP="002817B6">
      <w:pPr>
        <w:pStyle w:val="Body"/>
        <w:rPr>
          <w:sz w:val="20"/>
          <w:szCs w:val="20"/>
          <w:lang w:eastAsia="es-ES_tradnl"/>
        </w:rPr>
      </w:pPr>
      <w:r>
        <w:rPr>
          <w:sz w:val="20"/>
          <w:szCs w:val="20"/>
          <w:lang w:eastAsia="es-ES_tradnl"/>
        </w:rPr>
        <w:t>El ICE se compromete a divulgar mediante su sitio web, en la sección de transparencia anualmente</w:t>
      </w:r>
      <w:r>
        <w:rPr>
          <w:rStyle w:val="Refdenotaalpie"/>
          <w:sz w:val="20"/>
          <w:szCs w:val="20"/>
          <w:lang w:eastAsia="es-ES_tradnl"/>
        </w:rPr>
        <w:footnoteReference w:id="3"/>
      </w:r>
      <w:r>
        <w:rPr>
          <w:sz w:val="20"/>
          <w:szCs w:val="20"/>
          <w:lang w:eastAsia="es-ES_tradnl"/>
        </w:rPr>
        <w:t xml:space="preserve"> (hasta la fecha de vencimiento de la emisión) información con relación al Bono Verde, la cual estará contenida en su Reporte Anual del Bono o documento que lo pudiera reemplazar.  Este documento será auditado anualmente por un auditor externo y su informe se anexará al reporte. </w:t>
      </w:r>
    </w:p>
    <w:p w14:paraId="40AAC762" w14:textId="77777777" w:rsidR="002817B6" w:rsidRDefault="002817B6" w:rsidP="002817B6">
      <w:pPr>
        <w:pStyle w:val="Body"/>
        <w:rPr>
          <w:strike/>
          <w:color w:val="FF0000"/>
          <w:sz w:val="20"/>
          <w:szCs w:val="20"/>
          <w:lang w:eastAsia="es-ES_tradnl"/>
        </w:rPr>
      </w:pPr>
      <w:r>
        <w:rPr>
          <w:sz w:val="20"/>
          <w:szCs w:val="20"/>
          <w:lang w:eastAsia="es-ES_tradnl"/>
        </w:rPr>
        <w:t>Los informes anuales de cumplimiento de la emisión verde serán acordes con la normativa emitida por el Consejo Nacional de Supervisión del Sistema Financiero (Conassif) y la Superintendencia General de Valores (Sugeval), y serán efectuados por terceros independientes del emisor y expertos, para efectos de comprobar que la emisión continúa en cumplimiento con el estándar usado originalmente para certificar la emisión verde, por lo que, se cumplirá con los informes anuales y que certifiquen el cumplimiento con los estándares aplicables.</w:t>
      </w:r>
      <w:r>
        <w:rPr>
          <w:strike/>
          <w:color w:val="FF0000"/>
          <w:sz w:val="20"/>
          <w:szCs w:val="20"/>
          <w:lang w:eastAsia="es-ES_tradnl"/>
        </w:rPr>
        <w:t xml:space="preserve"> </w:t>
      </w:r>
    </w:p>
    <w:p w14:paraId="72AFC4B4" w14:textId="21E3A6F0" w:rsidR="002817B6" w:rsidRPr="00EE31B1" w:rsidRDefault="00933C24" w:rsidP="002817B6">
      <w:pPr>
        <w:pStyle w:val="Body"/>
        <w:rPr>
          <w:sz w:val="20"/>
          <w:szCs w:val="20"/>
          <w:lang w:eastAsia="es-ES_tradnl"/>
        </w:rPr>
      </w:pPr>
      <w:r>
        <w:rPr>
          <w:sz w:val="20"/>
          <w:szCs w:val="20"/>
          <w:lang w:eastAsia="es-ES_tradnl"/>
        </w:rPr>
        <w:t>Para la debida información de los inversionistas, d</w:t>
      </w:r>
      <w:r w:rsidR="002817B6" w:rsidRPr="00EE31B1">
        <w:rPr>
          <w:sz w:val="20"/>
          <w:szCs w:val="20"/>
          <w:lang w:eastAsia="es-ES_tradnl"/>
        </w:rPr>
        <w:t xml:space="preserve">ichos informes estarán a disposición de los </w:t>
      </w:r>
      <w:r>
        <w:rPr>
          <w:sz w:val="20"/>
          <w:szCs w:val="20"/>
          <w:lang w:eastAsia="es-ES_tradnl"/>
        </w:rPr>
        <w:t>mismos</w:t>
      </w:r>
      <w:r w:rsidR="002817B6" w:rsidRPr="00EE31B1">
        <w:rPr>
          <w:sz w:val="20"/>
          <w:szCs w:val="20"/>
          <w:lang w:eastAsia="es-ES_tradnl"/>
        </w:rPr>
        <w:t xml:space="preserve"> en la página web de la SUGEVAL.</w:t>
      </w:r>
    </w:p>
    <w:p w14:paraId="5C1A1FE1" w14:textId="649DD185" w:rsidR="002817B6" w:rsidRDefault="002817B6" w:rsidP="002817B6">
      <w:pPr>
        <w:rPr>
          <w:rFonts w:ascii="Arial" w:hAnsi="Arial" w:cs="Arial"/>
          <w:sz w:val="20"/>
          <w:lang w:val="es-PE"/>
        </w:rPr>
      </w:pPr>
      <w:r>
        <w:rPr>
          <w:rFonts w:ascii="Arial" w:hAnsi="Arial" w:cs="Arial"/>
          <w:sz w:val="20"/>
          <w:lang w:val="es-PE"/>
        </w:rPr>
        <w:t>Los procesos de seguimiento, recopilación de datos, consolidación, validación y presentación de informes están claramente definidos en el Marco de Gestión de Bono Verde y Certificación de Segunda Opinión. (SPO por sus siglas en inglés)</w:t>
      </w:r>
      <w:r w:rsidR="00933C24">
        <w:rPr>
          <w:rFonts w:ascii="Arial" w:hAnsi="Arial" w:cs="Arial"/>
          <w:sz w:val="20"/>
          <w:lang w:val="es-PE"/>
        </w:rPr>
        <w:t>.</w:t>
      </w:r>
    </w:p>
    <w:p w14:paraId="6254A72A" w14:textId="77777777" w:rsidR="00933C24" w:rsidRDefault="00933C24" w:rsidP="002817B6">
      <w:pPr>
        <w:rPr>
          <w:rFonts w:ascii="Arial" w:hAnsi="Arial" w:cs="Arial"/>
          <w:sz w:val="20"/>
          <w:szCs w:val="20"/>
          <w:lang w:val="es-PE" w:eastAsia="es-ES"/>
        </w:rPr>
      </w:pPr>
    </w:p>
    <w:p w14:paraId="7145E98E" w14:textId="77777777" w:rsidR="002817B6" w:rsidRDefault="002817B6" w:rsidP="002817B6">
      <w:pPr>
        <w:spacing w:line="276" w:lineRule="auto"/>
        <w:rPr>
          <w:rFonts w:ascii="Arial" w:hAnsi="Arial" w:cs="Arial"/>
          <w:sz w:val="20"/>
          <w:lang w:val="es-PE"/>
        </w:rPr>
      </w:pPr>
      <w:r>
        <w:rPr>
          <w:rFonts w:ascii="Arial" w:hAnsi="Arial" w:cs="Arial"/>
          <w:sz w:val="20"/>
        </w:rPr>
        <w:t>El ICE ha definido indicadores de sostenibilidad para procurar la transparencia y rendición de cuentas en sus informes, incluidos en la tabla de este apartado.  El I</w:t>
      </w:r>
      <w:r>
        <w:rPr>
          <w:rFonts w:ascii="Arial" w:hAnsi="Arial" w:cs="Arial"/>
          <w:sz w:val="20"/>
          <w:lang w:val="es-PE"/>
        </w:rPr>
        <w:t>CE incorporó un indicador para medir la intensidad de emisiones evitadas, lo cual constituye una buena práctica en el ámbito internacional.</w:t>
      </w:r>
    </w:p>
    <w:p w14:paraId="221DDF3A" w14:textId="77777777" w:rsidR="002817B6" w:rsidRDefault="002817B6" w:rsidP="002817B6">
      <w:pPr>
        <w:spacing w:line="276" w:lineRule="auto"/>
        <w:rPr>
          <w:rFonts w:ascii="Arial" w:hAnsi="Arial" w:cs="Arial"/>
          <w:sz w:val="20"/>
          <w:lang w:val="es-PE"/>
        </w:rPr>
      </w:pPr>
    </w:p>
    <w:p w14:paraId="6F098A9C" w14:textId="77777777" w:rsidR="002817B6" w:rsidRDefault="002817B6" w:rsidP="002817B6">
      <w:pPr>
        <w:spacing w:line="276" w:lineRule="auto"/>
        <w:rPr>
          <w:rFonts w:ascii="Arial" w:hAnsi="Arial" w:cs="Arial"/>
          <w:sz w:val="20"/>
          <w:lang w:val="es-PE"/>
        </w:rPr>
      </w:pPr>
      <w:r>
        <w:rPr>
          <w:rFonts w:ascii="Arial" w:hAnsi="Arial" w:cs="Arial"/>
          <w:sz w:val="20"/>
          <w:lang w:val="es-PE"/>
        </w:rPr>
        <w:t>El Emisor se ha comprometido a divulgar públicamente las metodologías y supuestos claves utilizados para calcular los indicadores de sostenibilidad en los Documentos de Registro anuales del Emisor y en el sitio web del Emisor.</w:t>
      </w:r>
    </w:p>
    <w:p w14:paraId="5C177B01" w14:textId="77777777" w:rsidR="002817B6" w:rsidRDefault="002817B6" w:rsidP="002817B6">
      <w:pPr>
        <w:pStyle w:val="Prrafodelista"/>
        <w:spacing w:line="276" w:lineRule="auto"/>
        <w:rPr>
          <w:rFonts w:ascii="Arial" w:hAnsi="Arial" w:cs="Arial"/>
          <w:sz w:val="20"/>
          <w:lang w:val="es-PE"/>
        </w:rPr>
      </w:pPr>
    </w:p>
    <w:p w14:paraId="0BD6CAC8" w14:textId="77777777" w:rsidR="002817B6" w:rsidRDefault="002817B6" w:rsidP="002817B6">
      <w:pPr>
        <w:pStyle w:val="Body"/>
        <w:keepNext/>
        <w:rPr>
          <w:sz w:val="20"/>
          <w:szCs w:val="20"/>
          <w:lang w:eastAsia="es-ES_tradnl"/>
        </w:rPr>
      </w:pPr>
      <w:r>
        <w:rPr>
          <w:sz w:val="20"/>
          <w:szCs w:val="20"/>
          <w:lang w:eastAsia="es-ES_tradnl"/>
        </w:rPr>
        <w:t>El reporte anual abordará al menos los siguientes puntos:</w:t>
      </w:r>
    </w:p>
    <w:p w14:paraId="4A2DFFF8" w14:textId="77777777" w:rsidR="002817B6" w:rsidRDefault="002817B6" w:rsidP="002817B6">
      <w:pPr>
        <w:pStyle w:val="Body"/>
        <w:keepNext/>
        <w:rPr>
          <w:sz w:val="20"/>
          <w:szCs w:val="20"/>
          <w:lang w:eastAsia="es-ES_tradnl"/>
        </w:rPr>
      </w:pPr>
    </w:p>
    <w:p w14:paraId="61C1B877" w14:textId="77777777" w:rsidR="002817B6" w:rsidRDefault="002817B6" w:rsidP="002817B6">
      <w:pPr>
        <w:pStyle w:val="BodyBullet"/>
        <w:ind w:left="284"/>
        <w:rPr>
          <w:sz w:val="20"/>
          <w:szCs w:val="20"/>
        </w:rPr>
      </w:pPr>
      <w:r>
        <w:rPr>
          <w:sz w:val="20"/>
          <w:szCs w:val="20"/>
        </w:rPr>
        <w:t>Confirmación del Comité Técnico del Bono Verde de la continua asignación de los fondos de la emisión a la refinanciación de la deuda de PHR.</w:t>
      </w:r>
    </w:p>
    <w:p w14:paraId="5FCE923B" w14:textId="77777777" w:rsidR="002817B6" w:rsidRDefault="002817B6" w:rsidP="002817B6">
      <w:pPr>
        <w:pStyle w:val="BodyBullet"/>
        <w:ind w:left="284"/>
        <w:rPr>
          <w:sz w:val="20"/>
          <w:szCs w:val="20"/>
        </w:rPr>
      </w:pPr>
      <w:r>
        <w:rPr>
          <w:sz w:val="20"/>
          <w:szCs w:val="20"/>
        </w:rPr>
        <w:t>Descripción de la gestión ambiental y social de la PHR.</w:t>
      </w:r>
    </w:p>
    <w:p w14:paraId="12CCDBF2" w14:textId="77777777" w:rsidR="002817B6" w:rsidRDefault="002817B6" w:rsidP="002817B6">
      <w:pPr>
        <w:pStyle w:val="BodyBullet"/>
        <w:ind w:left="284"/>
        <w:rPr>
          <w:sz w:val="20"/>
          <w:szCs w:val="20"/>
        </w:rPr>
      </w:pPr>
      <w:r>
        <w:rPr>
          <w:sz w:val="20"/>
          <w:szCs w:val="20"/>
        </w:rPr>
        <w:t>Resumen de la metodología detrás del cálculo de las métricas expuestas en el reporte.</w:t>
      </w:r>
    </w:p>
    <w:p w14:paraId="581E85B7" w14:textId="77777777" w:rsidR="002817B6" w:rsidRDefault="002817B6" w:rsidP="002817B6">
      <w:pPr>
        <w:pStyle w:val="BodyBullet"/>
        <w:ind w:left="284"/>
        <w:rPr>
          <w:sz w:val="20"/>
          <w:szCs w:val="20"/>
        </w:rPr>
      </w:pPr>
      <w:r>
        <w:rPr>
          <w:sz w:val="20"/>
          <w:szCs w:val="20"/>
        </w:rPr>
        <w:t>Métricas o indicadores de sostenibilidad relevantes, las cuales formaron parte del Marco de Gestión y avalados por PCS quién emitió la Segunda Opinión, incluidos:</w:t>
      </w:r>
    </w:p>
    <w:p w14:paraId="25FC9D2A" w14:textId="77777777" w:rsidR="002817B6" w:rsidRDefault="002817B6" w:rsidP="002817B6">
      <w:pPr>
        <w:pStyle w:val="BodyBullet"/>
        <w:numPr>
          <w:ilvl w:val="0"/>
          <w:numId w:val="0"/>
        </w:numPr>
        <w:ind w:left="284"/>
        <w:rPr>
          <w:sz w:val="20"/>
          <w:szCs w:val="20"/>
        </w:rPr>
      </w:pPr>
    </w:p>
    <w:p w14:paraId="7CB6F672" w14:textId="77777777" w:rsidR="006900E1" w:rsidRDefault="006900E1" w:rsidP="002817B6">
      <w:pPr>
        <w:pStyle w:val="BodyBullet"/>
        <w:numPr>
          <w:ilvl w:val="0"/>
          <w:numId w:val="0"/>
        </w:numPr>
        <w:ind w:left="284"/>
        <w:rPr>
          <w:sz w:val="20"/>
          <w:szCs w:val="20"/>
        </w:rPr>
      </w:pPr>
    </w:p>
    <w:p w14:paraId="1F8E38C1" w14:textId="77777777" w:rsidR="006900E1" w:rsidRDefault="006900E1" w:rsidP="002817B6">
      <w:pPr>
        <w:pStyle w:val="BodyBullet"/>
        <w:numPr>
          <w:ilvl w:val="0"/>
          <w:numId w:val="0"/>
        </w:numPr>
        <w:ind w:left="284"/>
        <w:rPr>
          <w:sz w:val="20"/>
          <w:szCs w:val="20"/>
        </w:rPr>
      </w:pPr>
    </w:p>
    <w:p w14:paraId="67262C5F" w14:textId="77777777" w:rsidR="002817B6" w:rsidRDefault="002817B6" w:rsidP="002817B6">
      <w:pPr>
        <w:pStyle w:val="BodyBullet"/>
        <w:numPr>
          <w:ilvl w:val="0"/>
          <w:numId w:val="0"/>
        </w:numPr>
        <w:ind w:left="284"/>
        <w:rPr>
          <w:sz w:val="20"/>
          <w:szCs w:val="20"/>
        </w:rPr>
      </w:pPr>
    </w:p>
    <w:tbl>
      <w:tblPr>
        <w:tblStyle w:val="Tablaconcuadrcula"/>
        <w:tblW w:w="8324" w:type="dxa"/>
        <w:tblBorders>
          <w:left w:val="single" w:sz="4" w:space="0" w:color="A6A6A6"/>
          <w:right w:val="single" w:sz="4" w:space="0" w:color="A6A6A6"/>
          <w:insideH w:val="single" w:sz="4" w:space="0" w:color="0070C0"/>
        </w:tblBorders>
        <w:tblLook w:val="04A0" w:firstRow="1" w:lastRow="0" w:firstColumn="1" w:lastColumn="0" w:noHBand="0" w:noVBand="1"/>
      </w:tblPr>
      <w:tblGrid>
        <w:gridCol w:w="4350"/>
        <w:gridCol w:w="3974"/>
      </w:tblGrid>
      <w:tr w:rsidR="002817B6" w14:paraId="0CAF756E" w14:textId="77777777" w:rsidTr="002817B6">
        <w:trPr>
          <w:trHeight w:val="538"/>
        </w:trPr>
        <w:tc>
          <w:tcPr>
            <w:tcW w:w="4350" w:type="dxa"/>
            <w:tcBorders>
              <w:top w:val="single" w:sz="4" w:space="0" w:color="auto"/>
              <w:left w:val="single" w:sz="4" w:space="0" w:color="A6A6A6"/>
              <w:bottom w:val="single" w:sz="4" w:space="0" w:color="0070C0"/>
              <w:right w:val="single" w:sz="4" w:space="0" w:color="auto"/>
            </w:tcBorders>
            <w:shd w:val="clear" w:color="auto" w:fill="D9D9D9" w:themeFill="background1" w:themeFillShade="D9"/>
            <w:hideMark/>
          </w:tcPr>
          <w:p w14:paraId="3E8129BB" w14:textId="77777777" w:rsidR="002817B6" w:rsidRDefault="002817B6">
            <w:pPr>
              <w:spacing w:after="200"/>
              <w:jc w:val="center"/>
              <w:rPr>
                <w:rFonts w:ascii="Arial" w:hAnsi="Arial" w:cs="Arial"/>
                <w:b/>
                <w:bCs/>
                <w:sz w:val="20"/>
                <w:szCs w:val="20"/>
                <w:lang w:val="es-CR"/>
              </w:rPr>
            </w:pPr>
            <w:r>
              <w:rPr>
                <w:rFonts w:ascii="Arial" w:hAnsi="Arial" w:cs="Arial"/>
                <w:b/>
                <w:bCs/>
                <w:sz w:val="20"/>
                <w:lang w:val="es-CR"/>
              </w:rPr>
              <w:t>Indicador</w:t>
            </w:r>
          </w:p>
        </w:tc>
        <w:tc>
          <w:tcPr>
            <w:tcW w:w="3974" w:type="dxa"/>
            <w:tcBorders>
              <w:top w:val="single" w:sz="4" w:space="0" w:color="auto"/>
              <w:left w:val="single" w:sz="4" w:space="0" w:color="auto"/>
              <w:bottom w:val="single" w:sz="4" w:space="0" w:color="0070C0"/>
              <w:right w:val="single" w:sz="4" w:space="0" w:color="A6A6A6"/>
            </w:tcBorders>
            <w:shd w:val="clear" w:color="auto" w:fill="D9D9D9" w:themeFill="background1" w:themeFillShade="D9"/>
            <w:hideMark/>
          </w:tcPr>
          <w:p w14:paraId="7C2AB004" w14:textId="77777777" w:rsidR="002817B6" w:rsidRDefault="002817B6">
            <w:pPr>
              <w:spacing w:after="200"/>
              <w:jc w:val="center"/>
              <w:rPr>
                <w:rFonts w:ascii="Arial" w:hAnsi="Arial" w:cs="Arial"/>
                <w:b/>
                <w:bCs/>
                <w:sz w:val="20"/>
                <w:lang w:val="es-CR"/>
              </w:rPr>
            </w:pPr>
            <w:r>
              <w:rPr>
                <w:rFonts w:ascii="Arial" w:hAnsi="Arial" w:cs="Arial"/>
                <w:b/>
                <w:bCs/>
                <w:sz w:val="20"/>
                <w:lang w:val="es-CR"/>
              </w:rPr>
              <w:t>Unidad de Medida</w:t>
            </w:r>
          </w:p>
        </w:tc>
      </w:tr>
      <w:tr w:rsidR="002817B6" w14:paraId="0267FF07" w14:textId="77777777" w:rsidTr="002817B6">
        <w:trPr>
          <w:trHeight w:val="391"/>
        </w:trPr>
        <w:tc>
          <w:tcPr>
            <w:tcW w:w="4350" w:type="dxa"/>
            <w:tcBorders>
              <w:top w:val="single" w:sz="4" w:space="0" w:color="0070C0"/>
              <w:left w:val="single" w:sz="4" w:space="0" w:color="A6A6A6"/>
              <w:bottom w:val="single" w:sz="4" w:space="0" w:color="0070C0"/>
              <w:right w:val="single" w:sz="4" w:space="0" w:color="auto"/>
            </w:tcBorders>
            <w:vAlign w:val="center"/>
            <w:hideMark/>
          </w:tcPr>
          <w:p w14:paraId="4238A6B2" w14:textId="77777777" w:rsidR="002817B6" w:rsidRDefault="002817B6">
            <w:pPr>
              <w:spacing w:after="200"/>
              <w:rPr>
                <w:rFonts w:ascii="Arial" w:hAnsi="Arial" w:cs="Arial"/>
                <w:color w:val="000000" w:themeColor="text1"/>
                <w:sz w:val="20"/>
                <w:lang w:val="es-CR"/>
              </w:rPr>
            </w:pPr>
            <w:r>
              <w:rPr>
                <w:rFonts w:ascii="Arial" w:hAnsi="Arial" w:cs="Arial"/>
                <w:color w:val="000000" w:themeColor="text1"/>
                <w:sz w:val="20"/>
                <w:lang w:val="es-CR"/>
              </w:rPr>
              <w:t>Producción anual de electricidad de la PHR</w:t>
            </w:r>
          </w:p>
        </w:tc>
        <w:tc>
          <w:tcPr>
            <w:tcW w:w="3974" w:type="dxa"/>
            <w:tcBorders>
              <w:top w:val="single" w:sz="4" w:space="0" w:color="0070C0"/>
              <w:left w:val="single" w:sz="4" w:space="0" w:color="auto"/>
              <w:bottom w:val="single" w:sz="4" w:space="0" w:color="0070C0"/>
              <w:right w:val="single" w:sz="4" w:space="0" w:color="A6A6A6"/>
            </w:tcBorders>
            <w:vAlign w:val="center"/>
            <w:hideMark/>
          </w:tcPr>
          <w:p w14:paraId="125FDB2D" w14:textId="77777777" w:rsidR="002817B6" w:rsidRDefault="002817B6">
            <w:pPr>
              <w:spacing w:after="200"/>
              <w:jc w:val="center"/>
              <w:rPr>
                <w:rFonts w:ascii="Arial" w:hAnsi="Arial" w:cs="Arial"/>
                <w:color w:val="000000" w:themeColor="text1"/>
                <w:sz w:val="20"/>
                <w:lang w:val="es-CR"/>
              </w:rPr>
            </w:pPr>
            <w:r>
              <w:rPr>
                <w:rFonts w:ascii="Arial" w:hAnsi="Arial" w:cs="Arial"/>
                <w:color w:val="000000" w:themeColor="text1"/>
                <w:sz w:val="20"/>
                <w:lang w:val="es-CR"/>
              </w:rPr>
              <w:t>GWH</w:t>
            </w:r>
          </w:p>
        </w:tc>
      </w:tr>
      <w:tr w:rsidR="002817B6" w14:paraId="1FD02767" w14:textId="77777777" w:rsidTr="002817B6">
        <w:trPr>
          <w:trHeight w:val="391"/>
        </w:trPr>
        <w:tc>
          <w:tcPr>
            <w:tcW w:w="4350" w:type="dxa"/>
            <w:tcBorders>
              <w:top w:val="single" w:sz="4" w:space="0" w:color="0070C0"/>
              <w:left w:val="single" w:sz="4" w:space="0" w:color="A6A6A6"/>
              <w:bottom w:val="single" w:sz="4" w:space="0" w:color="0070C0"/>
              <w:right w:val="single" w:sz="4" w:space="0" w:color="auto"/>
            </w:tcBorders>
            <w:vAlign w:val="center"/>
            <w:hideMark/>
          </w:tcPr>
          <w:p w14:paraId="6AAF736D" w14:textId="77777777" w:rsidR="002817B6" w:rsidRDefault="002817B6">
            <w:pPr>
              <w:spacing w:after="200"/>
              <w:rPr>
                <w:rFonts w:ascii="Arial" w:hAnsi="Arial" w:cs="Arial"/>
                <w:color w:val="000000" w:themeColor="text1"/>
                <w:sz w:val="20"/>
                <w:lang w:val="es-CR"/>
              </w:rPr>
            </w:pPr>
            <w:r>
              <w:rPr>
                <w:rFonts w:ascii="Arial" w:hAnsi="Arial" w:cs="Arial"/>
                <w:color w:val="000000" w:themeColor="text1"/>
                <w:sz w:val="20"/>
                <w:lang w:val="es-CR"/>
              </w:rPr>
              <w:t>Factor de planta de la PHR</w:t>
            </w:r>
          </w:p>
        </w:tc>
        <w:tc>
          <w:tcPr>
            <w:tcW w:w="3974" w:type="dxa"/>
            <w:tcBorders>
              <w:top w:val="single" w:sz="4" w:space="0" w:color="0070C0"/>
              <w:left w:val="single" w:sz="4" w:space="0" w:color="auto"/>
              <w:bottom w:val="single" w:sz="4" w:space="0" w:color="0070C0"/>
              <w:right w:val="single" w:sz="4" w:space="0" w:color="A6A6A6"/>
            </w:tcBorders>
            <w:vAlign w:val="center"/>
            <w:hideMark/>
          </w:tcPr>
          <w:p w14:paraId="67EC0C2B" w14:textId="77777777" w:rsidR="002817B6" w:rsidRDefault="002817B6">
            <w:pPr>
              <w:spacing w:after="200"/>
              <w:jc w:val="center"/>
              <w:rPr>
                <w:rFonts w:ascii="Arial" w:hAnsi="Arial" w:cs="Arial"/>
                <w:color w:val="000000" w:themeColor="text1"/>
                <w:sz w:val="20"/>
                <w:lang w:val="es-CR"/>
              </w:rPr>
            </w:pPr>
            <w:r>
              <w:rPr>
                <w:rFonts w:ascii="Arial" w:hAnsi="Arial" w:cs="Arial"/>
                <w:color w:val="000000" w:themeColor="text1"/>
                <w:sz w:val="20"/>
                <w:lang w:val="es-CR"/>
              </w:rPr>
              <w:t>Factor de planta = (Producción anual / capacidad de la planta / 8760 h)</w:t>
            </w:r>
          </w:p>
          <w:p w14:paraId="659BA9DB" w14:textId="77777777" w:rsidR="002817B6" w:rsidRDefault="002817B6">
            <w:pPr>
              <w:spacing w:after="200"/>
              <w:jc w:val="center"/>
              <w:rPr>
                <w:rFonts w:ascii="Arial" w:hAnsi="Arial" w:cs="Arial"/>
                <w:color w:val="000000" w:themeColor="text1"/>
                <w:sz w:val="20"/>
                <w:lang w:val="es-CR"/>
              </w:rPr>
            </w:pPr>
            <w:r>
              <w:rPr>
                <w:rFonts w:ascii="Arial" w:hAnsi="Arial" w:cs="Arial"/>
                <w:color w:val="000000" w:themeColor="text1"/>
                <w:sz w:val="20"/>
                <w:lang w:val="es-CR"/>
              </w:rPr>
              <w:t>GWh/GWh</w:t>
            </w:r>
          </w:p>
        </w:tc>
      </w:tr>
      <w:tr w:rsidR="002817B6" w14:paraId="42A36BD7" w14:textId="77777777" w:rsidTr="002817B6">
        <w:trPr>
          <w:trHeight w:val="771"/>
        </w:trPr>
        <w:tc>
          <w:tcPr>
            <w:tcW w:w="4350" w:type="dxa"/>
            <w:tcBorders>
              <w:top w:val="single" w:sz="4" w:space="0" w:color="0070C0"/>
              <w:left w:val="single" w:sz="4" w:space="0" w:color="A6A6A6"/>
              <w:bottom w:val="single" w:sz="4" w:space="0" w:color="0070C0"/>
              <w:right w:val="single" w:sz="4" w:space="0" w:color="auto"/>
            </w:tcBorders>
            <w:vAlign w:val="center"/>
            <w:hideMark/>
          </w:tcPr>
          <w:p w14:paraId="0F846307" w14:textId="77777777" w:rsidR="002817B6" w:rsidRDefault="002817B6">
            <w:pPr>
              <w:spacing w:after="200"/>
              <w:rPr>
                <w:rFonts w:ascii="Arial" w:hAnsi="Arial" w:cs="Arial"/>
                <w:color w:val="000000" w:themeColor="text1"/>
                <w:sz w:val="20"/>
                <w:lang w:val="es-CR"/>
              </w:rPr>
            </w:pPr>
            <w:r>
              <w:rPr>
                <w:rFonts w:ascii="Arial" w:hAnsi="Arial" w:cs="Arial"/>
                <w:color w:val="000000" w:themeColor="text1"/>
                <w:sz w:val="20"/>
                <w:lang w:val="es-CR"/>
              </w:rPr>
              <w:t>Intensidad de emisiones por cantidad de energía producida (Toneladas de GEI por cantidad de energía producida)</w:t>
            </w:r>
          </w:p>
        </w:tc>
        <w:tc>
          <w:tcPr>
            <w:tcW w:w="3974" w:type="dxa"/>
            <w:tcBorders>
              <w:top w:val="single" w:sz="4" w:space="0" w:color="0070C0"/>
              <w:left w:val="single" w:sz="4" w:space="0" w:color="auto"/>
              <w:bottom w:val="single" w:sz="4" w:space="0" w:color="0070C0"/>
              <w:right w:val="single" w:sz="4" w:space="0" w:color="A6A6A6"/>
            </w:tcBorders>
            <w:vAlign w:val="center"/>
            <w:hideMark/>
          </w:tcPr>
          <w:p w14:paraId="64D7B764" w14:textId="77777777" w:rsidR="002817B6" w:rsidRDefault="002817B6">
            <w:pPr>
              <w:spacing w:after="200"/>
              <w:jc w:val="center"/>
              <w:rPr>
                <w:rFonts w:ascii="Arial" w:hAnsi="Arial" w:cs="Arial"/>
                <w:color w:val="000000" w:themeColor="text1"/>
                <w:sz w:val="20"/>
                <w:lang w:val="es-CR"/>
              </w:rPr>
            </w:pPr>
            <w:r>
              <w:rPr>
                <w:rFonts w:ascii="Arial" w:hAnsi="Arial" w:cs="Arial"/>
                <w:color w:val="000000" w:themeColor="text1"/>
                <w:sz w:val="20"/>
                <w:lang w:val="es-CR"/>
              </w:rPr>
              <w:t>Toneladas de CO</w:t>
            </w:r>
            <w:r>
              <w:rPr>
                <w:rFonts w:ascii="Arial" w:hAnsi="Arial" w:cs="Arial"/>
                <w:color w:val="000000" w:themeColor="text1"/>
                <w:sz w:val="20"/>
                <w:vertAlign w:val="subscript"/>
                <w:lang w:val="es-CR"/>
              </w:rPr>
              <w:t>2</w:t>
            </w:r>
            <w:r>
              <w:rPr>
                <w:rFonts w:ascii="Arial" w:hAnsi="Arial" w:cs="Arial"/>
                <w:color w:val="000000" w:themeColor="text1"/>
                <w:sz w:val="20"/>
                <w:lang w:val="es-CR"/>
              </w:rPr>
              <w:t>e/GWh</w:t>
            </w:r>
          </w:p>
        </w:tc>
      </w:tr>
      <w:tr w:rsidR="002817B6" w14:paraId="3B57F1A0" w14:textId="77777777" w:rsidTr="002817B6">
        <w:trPr>
          <w:trHeight w:val="771"/>
        </w:trPr>
        <w:tc>
          <w:tcPr>
            <w:tcW w:w="4350" w:type="dxa"/>
            <w:tcBorders>
              <w:top w:val="single" w:sz="4" w:space="0" w:color="0070C0"/>
              <w:left w:val="single" w:sz="4" w:space="0" w:color="A6A6A6"/>
              <w:bottom w:val="single" w:sz="4" w:space="0" w:color="auto"/>
              <w:right w:val="single" w:sz="4" w:space="0" w:color="auto"/>
            </w:tcBorders>
            <w:vAlign w:val="center"/>
            <w:hideMark/>
          </w:tcPr>
          <w:p w14:paraId="126D0242" w14:textId="77777777" w:rsidR="002817B6" w:rsidRDefault="002817B6">
            <w:pPr>
              <w:spacing w:after="200"/>
              <w:rPr>
                <w:rFonts w:ascii="Arial" w:hAnsi="Arial" w:cs="Arial"/>
                <w:color w:val="000000" w:themeColor="text1"/>
                <w:sz w:val="20"/>
                <w:lang w:val="es-CR"/>
              </w:rPr>
            </w:pPr>
            <w:r>
              <w:rPr>
                <w:rFonts w:ascii="Arial" w:hAnsi="Arial" w:cs="Arial"/>
                <w:color w:val="000000" w:themeColor="text1"/>
                <w:sz w:val="20"/>
                <w:lang w:val="es-CR"/>
              </w:rPr>
              <w:t>Factor de emisión de GEI del embalse de la PHR (Alcance 1 y 2)</w:t>
            </w:r>
          </w:p>
        </w:tc>
        <w:tc>
          <w:tcPr>
            <w:tcW w:w="3974" w:type="dxa"/>
            <w:tcBorders>
              <w:top w:val="single" w:sz="4" w:space="0" w:color="0070C0"/>
              <w:left w:val="single" w:sz="4" w:space="0" w:color="auto"/>
              <w:bottom w:val="single" w:sz="4" w:space="0" w:color="auto"/>
              <w:right w:val="single" w:sz="4" w:space="0" w:color="A6A6A6"/>
            </w:tcBorders>
            <w:vAlign w:val="center"/>
            <w:hideMark/>
          </w:tcPr>
          <w:p w14:paraId="7AFC47B5" w14:textId="77777777" w:rsidR="002817B6" w:rsidRDefault="002817B6">
            <w:pPr>
              <w:spacing w:after="200"/>
              <w:jc w:val="center"/>
              <w:rPr>
                <w:rFonts w:ascii="Arial" w:hAnsi="Arial" w:cs="Arial"/>
                <w:color w:val="000000" w:themeColor="text1"/>
                <w:sz w:val="20"/>
                <w:lang w:val="es-CR"/>
              </w:rPr>
            </w:pPr>
            <w:r>
              <w:rPr>
                <w:rFonts w:ascii="Arial" w:hAnsi="Arial" w:cs="Arial"/>
                <w:color w:val="000000" w:themeColor="text1"/>
                <w:sz w:val="20"/>
                <w:lang w:val="es-CR"/>
              </w:rPr>
              <w:t>Toneladas de CO</w:t>
            </w:r>
            <w:r>
              <w:rPr>
                <w:rFonts w:ascii="Arial" w:hAnsi="Arial" w:cs="Arial"/>
                <w:color w:val="000000" w:themeColor="text1"/>
                <w:sz w:val="20"/>
                <w:vertAlign w:val="subscript"/>
                <w:lang w:val="es-CR"/>
              </w:rPr>
              <w:t>2</w:t>
            </w:r>
            <w:r>
              <w:rPr>
                <w:rFonts w:ascii="Arial" w:hAnsi="Arial" w:cs="Arial"/>
                <w:color w:val="000000" w:themeColor="text1"/>
                <w:sz w:val="20"/>
                <w:lang w:val="es-CR"/>
              </w:rPr>
              <w:t>e</w:t>
            </w:r>
          </w:p>
        </w:tc>
      </w:tr>
    </w:tbl>
    <w:p w14:paraId="37DD5F2B" w14:textId="157BBE4D" w:rsidR="002817B6" w:rsidRDefault="002817B6" w:rsidP="002817B6">
      <w:pPr>
        <w:pStyle w:val="BodyBullet"/>
        <w:numPr>
          <w:ilvl w:val="0"/>
          <w:numId w:val="0"/>
        </w:numPr>
        <w:rPr>
          <w:sz w:val="20"/>
          <w:szCs w:val="20"/>
          <w:lang w:val="es-ES"/>
        </w:rPr>
      </w:pPr>
    </w:p>
    <w:p w14:paraId="4740416D" w14:textId="4F54C024" w:rsidR="00933C24" w:rsidRDefault="00933C24" w:rsidP="00933C24">
      <w:pPr>
        <w:pStyle w:val="BodyBullet"/>
        <w:ind w:left="284"/>
        <w:rPr>
          <w:sz w:val="20"/>
          <w:szCs w:val="20"/>
          <w:lang w:val="es-ES"/>
        </w:rPr>
      </w:pPr>
      <w:r>
        <w:rPr>
          <w:sz w:val="20"/>
          <w:szCs w:val="20"/>
          <w:lang w:val="es-ES"/>
        </w:rPr>
        <w:t xml:space="preserve">Y cualquier </w:t>
      </w:r>
      <w:r w:rsidRPr="00CD40B2">
        <w:rPr>
          <w:sz w:val="20"/>
          <w:szCs w:val="20"/>
        </w:rPr>
        <w:t>otra</w:t>
      </w:r>
      <w:r>
        <w:rPr>
          <w:sz w:val="20"/>
          <w:szCs w:val="20"/>
          <w:lang w:val="es-ES"/>
        </w:rPr>
        <w:t xml:space="preserve"> información que sea requerida por la normativa.</w:t>
      </w:r>
    </w:p>
    <w:p w14:paraId="015C078A" w14:textId="77777777" w:rsidR="00933C24" w:rsidRDefault="00933C24" w:rsidP="00933C24">
      <w:pPr>
        <w:pStyle w:val="BodyBullet"/>
        <w:numPr>
          <w:ilvl w:val="0"/>
          <w:numId w:val="0"/>
        </w:numPr>
        <w:rPr>
          <w:sz w:val="20"/>
          <w:szCs w:val="20"/>
          <w:lang w:val="es-ES"/>
        </w:rPr>
      </w:pPr>
    </w:p>
    <w:p w14:paraId="4298B882" w14:textId="77777777" w:rsidR="002817B6" w:rsidRDefault="002817B6" w:rsidP="002817B6">
      <w:pPr>
        <w:pStyle w:val="Body"/>
        <w:tabs>
          <w:tab w:val="clear" w:pos="567"/>
          <w:tab w:val="left" w:pos="708"/>
        </w:tabs>
        <w:rPr>
          <w:lang w:eastAsia="es-ES_tradnl"/>
        </w:rPr>
      </w:pPr>
      <w:r>
        <w:rPr>
          <w:sz w:val="20"/>
          <w:szCs w:val="20"/>
          <w:lang w:eastAsia="es-ES_tradnl"/>
        </w:rPr>
        <w:t xml:space="preserve">El Equipo Técnico, </w:t>
      </w:r>
      <w:r>
        <w:rPr>
          <w:sz w:val="20"/>
        </w:rPr>
        <w:t xml:space="preserve">representado por varias áreas del ICE entre las cuales cabe mencionar:  Dirección de Planificación y Sostenibilidad de la Gerencia de Electricidad, Unidad de Sostenibilidad, Estrategia e Innovación de la Gerencia de Finanzas, </w:t>
      </w:r>
      <w:r>
        <w:rPr>
          <w:sz w:val="20"/>
          <w:szCs w:val="20"/>
          <w:lang w:eastAsia="es-ES_tradnl"/>
        </w:rPr>
        <w:t xml:space="preserve">se apoyarán para la supervisión del cumplimiento del </w:t>
      </w:r>
      <w:r>
        <w:rPr>
          <w:sz w:val="20"/>
          <w:szCs w:val="20"/>
          <w:lang w:val="es-CR" w:eastAsia="es-ES_tradnl"/>
        </w:rPr>
        <w:t xml:space="preserve">desempeño ambiental y social en </w:t>
      </w:r>
      <w:r>
        <w:rPr>
          <w:sz w:val="20"/>
          <w:szCs w:val="20"/>
          <w:lang w:eastAsia="es-ES_tradnl"/>
        </w:rPr>
        <w:t>la Unidad de Sostenibilidad de la Dirección de Planificación y Sostenibilidad de la Gerencia de Electricidad, así como en el Área Social y Ambiental de la Región Huetar para realizar los respectivos reportes de rendición de cuentas.</w:t>
      </w:r>
    </w:p>
    <w:p w14:paraId="77EB1C6E" w14:textId="77777777" w:rsidR="002817B6" w:rsidRDefault="002817B6" w:rsidP="002817B6">
      <w:pPr>
        <w:rPr>
          <w:color w:val="538135" w:themeColor="accent6" w:themeShade="BF"/>
          <w:lang w:val="es-CR" w:eastAsia="en-US"/>
        </w:rPr>
      </w:pPr>
    </w:p>
    <w:p w14:paraId="11AE9390" w14:textId="77777777" w:rsidR="002817B6" w:rsidRDefault="002817B6" w:rsidP="002817B6">
      <w:pPr>
        <w:spacing w:after="160"/>
        <w:rPr>
          <w:rFonts w:ascii="Arial" w:eastAsia="ヒラギノ角ゴ Pro W3" w:hAnsi="Arial" w:cs="Arial"/>
          <w:sz w:val="20"/>
          <w:lang w:val="es-ES_tradnl" w:eastAsia="es-ES_tradnl"/>
        </w:rPr>
      </w:pPr>
      <w:bookmarkStart w:id="41" w:name="_Hlk68864663"/>
    </w:p>
    <w:bookmarkEnd w:id="41"/>
    <w:p w14:paraId="5EE86620" w14:textId="24243F0F" w:rsidR="002817B6" w:rsidRPr="00603C5D" w:rsidRDefault="002817B6" w:rsidP="002817B6">
      <w:pPr>
        <w:pStyle w:val="Ttulo4"/>
        <w:rPr>
          <w:rFonts w:ascii="Arial" w:eastAsia="ヒラギノ角ゴ Pro W3" w:hAnsi="Arial" w:cs="Arial"/>
          <w:bCs w:val="0"/>
          <w:sz w:val="20"/>
          <w:lang w:val="es-ES_tradnl" w:eastAsia="es-ES_tradnl"/>
        </w:rPr>
      </w:pPr>
      <w:r w:rsidRPr="00603C5D">
        <w:rPr>
          <w:rFonts w:ascii="Arial" w:eastAsia="ヒラギノ角ゴ Pro W3" w:hAnsi="Arial" w:cs="Arial"/>
          <w:bCs w:val="0"/>
          <w:sz w:val="20"/>
          <w:lang w:val="es-ES_tradnl" w:eastAsia="es-ES_tradnl"/>
        </w:rPr>
        <w:t>1.1.2.</w:t>
      </w:r>
      <w:r w:rsidR="00603C5D" w:rsidRPr="00603C5D">
        <w:rPr>
          <w:rFonts w:ascii="Arial" w:eastAsia="ヒラギノ角ゴ Pro W3" w:hAnsi="Arial" w:cs="Arial"/>
          <w:bCs w:val="0"/>
          <w:sz w:val="20"/>
          <w:lang w:val="es-ES_tradnl" w:eastAsia="es-ES_tradnl"/>
        </w:rPr>
        <w:t>2.</w:t>
      </w:r>
      <w:r w:rsidRPr="00603C5D">
        <w:rPr>
          <w:rFonts w:ascii="Arial" w:eastAsia="ヒラギノ角ゴ Pro W3" w:hAnsi="Arial" w:cs="Arial"/>
          <w:bCs w:val="0"/>
          <w:sz w:val="20"/>
          <w:lang w:val="es-ES_tradnl" w:eastAsia="es-ES_tradnl"/>
        </w:rPr>
        <w:t xml:space="preserve"> Verificación externa de Bonos Verdes</w:t>
      </w:r>
    </w:p>
    <w:p w14:paraId="14A2BCAF"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p>
    <w:p w14:paraId="422D3DFF" w14:textId="6F1BC169"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 xml:space="preserve">Toda emisión de valores que quiera ser catalogada como “bono verde” debe presentar la opinión de un tercero independiente experto.   Para el caso del bono verde del ICE, la Segunda Opinión fue elaborada </w:t>
      </w:r>
      <w:r w:rsidR="00A92458">
        <w:rPr>
          <w:rFonts w:ascii="Arial" w:eastAsia="ヒラギノ角ゴ Pro W3" w:hAnsi="Arial" w:cs="Arial"/>
          <w:sz w:val="20"/>
          <w:lang w:val="es-ES_tradnl" w:eastAsia="es-ES_tradnl"/>
        </w:rPr>
        <w:t>en</w:t>
      </w:r>
      <w:r>
        <w:rPr>
          <w:rFonts w:ascii="Arial" w:eastAsia="ヒラギノ角ゴ Pro W3" w:hAnsi="Arial" w:cs="Arial"/>
          <w:sz w:val="20"/>
          <w:lang w:val="es-ES_tradnl" w:eastAsia="es-ES_tradnl"/>
        </w:rPr>
        <w:t xml:space="preserve"> </w:t>
      </w:r>
      <w:r w:rsidR="00E25DC6">
        <w:rPr>
          <w:rFonts w:ascii="Arial" w:eastAsia="ヒラギノ角ゴ Pro W3" w:hAnsi="Arial" w:cs="Arial"/>
          <w:sz w:val="20"/>
          <w:lang w:val="es-ES_tradnl" w:eastAsia="es-ES_tradnl"/>
        </w:rPr>
        <w:t>diciembre de 2023</w:t>
      </w:r>
      <w:r>
        <w:rPr>
          <w:rFonts w:ascii="Arial" w:eastAsia="ヒラギノ角ゴ Pro W3" w:hAnsi="Arial" w:cs="Arial"/>
          <w:sz w:val="20"/>
          <w:lang w:val="es-ES_tradnl" w:eastAsia="es-ES_tradnl"/>
        </w:rPr>
        <w:t xml:space="preserve"> por la empresa Pacific Corporate Sustainability (PCS), </w:t>
      </w:r>
      <w:r w:rsidR="00C46F1A">
        <w:rPr>
          <w:rFonts w:ascii="Arial" w:eastAsia="ヒラギノ角ゴ Pro W3" w:hAnsi="Arial" w:cs="Arial"/>
          <w:sz w:val="20"/>
          <w:lang w:val="es-ES_tradnl" w:eastAsia="es-ES_tradnl"/>
        </w:rPr>
        <w:t xml:space="preserve"> </w:t>
      </w:r>
      <w:r>
        <w:rPr>
          <w:rFonts w:ascii="Arial" w:eastAsia="ヒラギノ角ゴ Pro W3" w:hAnsi="Arial" w:cs="Arial"/>
          <w:sz w:val="20"/>
          <w:lang w:val="es-ES_tradnl" w:eastAsia="es-ES_tradnl"/>
        </w:rPr>
        <w:t>que es una empresa dedicada a brindar servicios de asesoría en materia de sostenibilidad corporativa. PCS forma parte del grupo Pacific Credit Rating (PCR) desde el año 1993, la cual posee cobertura regional y oficinas en 11 países de América Latina y el Caribe. Además, PCS cuenta con experiencia desarrollando ratings, evaluaciones, estrategias, programas de capacitación a medida e instrumentos de monitoreo en diferentes sectores.</w:t>
      </w:r>
    </w:p>
    <w:p w14:paraId="5CB030DC"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p>
    <w:p w14:paraId="6E4F3DDD"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Por otra parte, PCS se encuentra acreditada con el Climate Bonds Initiative (CBI) para desarrollar verificaciones de validez global altamente valoradas por inversionistas internacionales tanto para la emisión de bonos verdes como sostenibles en todos los países de América Latina.</w:t>
      </w:r>
    </w:p>
    <w:p w14:paraId="71052E3C"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p>
    <w:p w14:paraId="6ECBA3D0"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 xml:space="preserve">Es importante mencionar que PCS está adherida a los Principios de Inversión Responsable de Naciones Unidas (UN PRI), un movimiento impulsado por inversionistas comprometidos con la sostenibilidad. También han sido reconocidos como Institución de Apoyo de la Iniciativa Financiera del Programa de Naciones Unidas para el Medio Ambiente (UNEP FI), para promover las finanzas sostenibles en América Latina. </w:t>
      </w:r>
    </w:p>
    <w:p w14:paraId="155851AF"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p>
    <w:p w14:paraId="7842686F"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PCS concluye en su informe adjunto a este prospecto lo siguiente, como parte de la Opinión de Segunda Parte (SPO):</w:t>
      </w:r>
    </w:p>
    <w:p w14:paraId="26AD5D91" w14:textId="77777777" w:rsidR="002817B6" w:rsidRDefault="002817B6" w:rsidP="002817B6">
      <w:pPr>
        <w:spacing w:after="160" w:line="256" w:lineRule="auto"/>
        <w:contextualSpacing/>
        <w:rPr>
          <w:rFonts w:eastAsia="ヒラギノ角ゴ Pro W3"/>
          <w:i/>
          <w:iCs/>
          <w:lang w:val="es-ES_tradnl" w:eastAsia="es-ES_tradnl"/>
        </w:rPr>
      </w:pPr>
    </w:p>
    <w:p w14:paraId="63EB453C" w14:textId="77777777" w:rsidR="002817B6" w:rsidRDefault="002817B6" w:rsidP="002817B6">
      <w:pPr>
        <w:autoSpaceDE w:val="0"/>
        <w:autoSpaceDN w:val="0"/>
        <w:adjustRightInd w:val="0"/>
        <w:ind w:left="567" w:right="707"/>
        <w:rPr>
          <w:rFonts w:eastAsia="ヒラギノ角ゴ Pro W3"/>
          <w:i/>
          <w:iCs/>
          <w:lang w:val="es-ES_tradnl" w:eastAsia="es-ES_tradnl"/>
        </w:rPr>
      </w:pPr>
      <w:r>
        <w:rPr>
          <w:rFonts w:eastAsia="ヒラギノ角ゴ Pro W3"/>
          <w:i/>
          <w:iCs/>
          <w:lang w:val="es-ES_tradnl" w:eastAsia="es-ES_tradnl"/>
        </w:rPr>
        <w:t>El Instituto Costarricense de Electricidad (ICE) ha desarrollado un Marco de Gestión de Bono Verde alineado con los Principios de Bonos Verdes de la Asociación Internacional de Mercado de Capitales (ICMA) del 2021, con la única finalidad de refinanciar deuda incurrida por el ICE en relación con la construcción de la Planta Hidroeléctrica Reventazón (PHR). Mediante este activo en operación, el ICE contribuye de manera directa con dos Objetivos de Desarrollo Sostenible (ODS): 7: Energía Limpia y Asequible, y 13: Acción por el Clima, los cuales están altamente vinculados con los objetivos de transición energética de Costa Rica.</w:t>
      </w:r>
    </w:p>
    <w:p w14:paraId="53CC0C87" w14:textId="77777777" w:rsidR="002817B6" w:rsidRDefault="002817B6" w:rsidP="002817B6">
      <w:pPr>
        <w:autoSpaceDE w:val="0"/>
        <w:autoSpaceDN w:val="0"/>
        <w:adjustRightInd w:val="0"/>
        <w:rPr>
          <w:rFonts w:eastAsia="ヒラギノ角ゴ Pro W3"/>
          <w:i/>
          <w:iCs/>
          <w:lang w:val="es-ES_tradnl" w:eastAsia="es-ES_tradnl"/>
        </w:rPr>
      </w:pPr>
      <w:r>
        <w:rPr>
          <w:rFonts w:eastAsia="ヒラギノ角ゴ Pro W3"/>
          <w:i/>
          <w:iCs/>
          <w:lang w:val="es-ES_tradnl" w:eastAsia="es-ES_tradnl"/>
        </w:rPr>
        <w:t xml:space="preserve"> </w:t>
      </w:r>
    </w:p>
    <w:p w14:paraId="560968F0" w14:textId="77777777" w:rsidR="002817B6" w:rsidRDefault="002817B6" w:rsidP="002817B6">
      <w:pPr>
        <w:spacing w:after="160" w:line="256" w:lineRule="auto"/>
        <w:ind w:left="567" w:right="707"/>
        <w:contextualSpacing/>
        <w:rPr>
          <w:rFonts w:eastAsia="ヒラギノ角ゴ Pro W3"/>
          <w:i/>
          <w:iCs/>
          <w:lang w:val="es-ES_tradnl" w:eastAsia="es-ES_tradnl"/>
        </w:rPr>
      </w:pPr>
      <w:r>
        <w:rPr>
          <w:rFonts w:eastAsia="ヒラギノ角ゴ Pro W3"/>
          <w:i/>
          <w:iCs/>
          <w:lang w:val="es-ES_tradnl" w:eastAsia="es-ES_tradnl"/>
        </w:rPr>
        <w:t>PCS es de la opinión que el “Marco de Gestión de Bono Verde de la Planta Hidroeléctrica Reventazón (PHR)” está alineado con los cuatro Principios de Bonos Verdes de ICMA, es creíble, transparente y compromete a ICE a informar de manera transparente sobre las métricas de impacto social y ambiental, y a avanzar hacia los ODS a lo largo de la vigencia del bono.</w:t>
      </w:r>
    </w:p>
    <w:p w14:paraId="420BAD7B" w14:textId="77777777" w:rsidR="002817B6" w:rsidRDefault="002817B6" w:rsidP="002817B6">
      <w:pPr>
        <w:spacing w:after="160" w:line="256" w:lineRule="auto"/>
        <w:contextualSpacing/>
        <w:rPr>
          <w:rFonts w:ascii="Arial" w:eastAsia="ヒラギノ角ゴ Pro W3" w:hAnsi="Arial" w:cs="Arial"/>
          <w:sz w:val="20"/>
          <w:szCs w:val="20"/>
          <w:lang w:val="es-ES_tradnl" w:eastAsia="es-ES_tradnl"/>
        </w:rPr>
      </w:pPr>
    </w:p>
    <w:p w14:paraId="550B2FE8"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 xml:space="preserve">La metodología para la valoración de bonos catalogados como verdes, que se basa en los principios ICMA, permitió concluir – en el caso de la Planta Hidroeléctrica Reventazón del ICE - que los mismos están alineados con lo establecido en el “Estándar de Bonos Verdes” de la Bolsa Nacional de Valores (BNV) sus cuatro principios, y de conformidad con la taxonomía del Climate Bond Standard por la Climate Bond Iniciative (CBI). </w:t>
      </w:r>
    </w:p>
    <w:p w14:paraId="2939CA86"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p>
    <w:p w14:paraId="291B3818" w14:textId="77777777" w:rsidR="002817B6" w:rsidRDefault="002817B6"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Emitido y colocado el bono verde, dicha verificación independiente estará disponible en la página web del ICE y como anexo a este prospecto. La actualización se hará anualmente por el plazo de vigencia de la emisión.</w:t>
      </w:r>
    </w:p>
    <w:p w14:paraId="1443BA27" w14:textId="2178577F" w:rsidR="002817B6" w:rsidRDefault="002817B6" w:rsidP="002817B6">
      <w:pPr>
        <w:spacing w:after="160" w:line="256" w:lineRule="auto"/>
        <w:contextualSpacing/>
        <w:rPr>
          <w:rFonts w:ascii="Arial" w:eastAsia="ヒラギノ角ゴ Pro W3" w:hAnsi="Arial" w:cs="Arial"/>
          <w:sz w:val="20"/>
          <w:lang w:val="es-ES_tradnl" w:eastAsia="es-ES_tradnl"/>
        </w:rPr>
      </w:pPr>
    </w:p>
    <w:p w14:paraId="20C16A78" w14:textId="6050ABB3" w:rsidR="00DB492E" w:rsidRDefault="00DB492E" w:rsidP="002817B6">
      <w:p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Es importante indicar que posterior a la obtención de la Segunda Opinión, la emisión de este Bono Verde para el refinanciamiento de la PHR obtuvo la certificación de Climate Bond Initiative (CBI), que constituye la primera a nivel mundial para una Planta Hidroeléctrica. Al respecto, se resalta lo siguiente:</w:t>
      </w:r>
    </w:p>
    <w:p w14:paraId="7513E3A4" w14:textId="22904E61" w:rsidR="00DB492E" w:rsidRDefault="00DB492E" w:rsidP="00DB492E">
      <w:pPr>
        <w:pStyle w:val="Prrafodelista"/>
        <w:numPr>
          <w:ilvl w:val="0"/>
          <w:numId w:val="85"/>
        </w:numPr>
        <w:spacing w:after="160" w:line="256" w:lineRule="auto"/>
        <w:contextualSpacing/>
        <w:rPr>
          <w:rFonts w:ascii="Arial" w:eastAsia="ヒラギノ角ゴ Pro W3" w:hAnsi="Arial" w:cs="Arial"/>
          <w:sz w:val="20"/>
          <w:lang w:val="es-ES_tradnl" w:eastAsia="es-ES_tradnl"/>
        </w:rPr>
      </w:pPr>
      <w:r>
        <w:rPr>
          <w:rFonts w:ascii="Arial" w:eastAsia="ヒラギノ角ゴ Pro W3" w:hAnsi="Arial" w:cs="Arial"/>
          <w:sz w:val="20"/>
          <w:lang w:val="es-ES_tradnl" w:eastAsia="es-ES_tradnl"/>
        </w:rPr>
        <w:t>CBI</w:t>
      </w:r>
      <w:r w:rsidRPr="00CD40B2">
        <w:rPr>
          <w:rFonts w:ascii="Arial" w:eastAsia="ヒラギノ角ゴ Pro W3" w:hAnsi="Arial" w:cs="Arial"/>
          <w:sz w:val="20"/>
          <w:lang w:val="es-ES_tradnl" w:eastAsia="es-ES_tradnl"/>
        </w:rPr>
        <w:t xml:space="preserve"> es una organización sin fines de lucro centrada en los inversores</w:t>
      </w:r>
      <w:r>
        <w:rPr>
          <w:rFonts w:ascii="Arial" w:eastAsia="ヒラギノ角ゴ Pro W3" w:hAnsi="Arial" w:cs="Arial"/>
          <w:sz w:val="20"/>
          <w:lang w:val="es-ES_tradnl" w:eastAsia="es-ES_tradnl"/>
        </w:rPr>
        <w:t>.</w:t>
      </w:r>
    </w:p>
    <w:p w14:paraId="78A34C34" w14:textId="77777777" w:rsidR="00DB492E" w:rsidRDefault="00DB492E" w:rsidP="00DB492E">
      <w:pPr>
        <w:pStyle w:val="Prrafodelista"/>
        <w:numPr>
          <w:ilvl w:val="0"/>
          <w:numId w:val="85"/>
        </w:numPr>
        <w:spacing w:after="160" w:line="256" w:lineRule="auto"/>
        <w:contextualSpacing/>
        <w:rPr>
          <w:rFonts w:ascii="Arial" w:eastAsia="ヒラギノ角ゴ Pro W3" w:hAnsi="Arial" w:cs="Arial"/>
          <w:sz w:val="20"/>
          <w:lang w:val="es-ES_tradnl" w:eastAsia="es-ES_tradnl"/>
        </w:rPr>
      </w:pPr>
      <w:r w:rsidRPr="00CD40B2">
        <w:rPr>
          <w:rFonts w:ascii="Arial" w:eastAsia="ヒラギノ角ゴ Pro W3" w:hAnsi="Arial" w:cs="Arial"/>
          <w:sz w:val="20"/>
          <w:lang w:val="es-ES_tradnl" w:eastAsia="es-ES_tradnl"/>
        </w:rPr>
        <w:t xml:space="preserve">Promueve inversiones a gran escala en la economía baja en carbono. </w:t>
      </w:r>
    </w:p>
    <w:p w14:paraId="74906FB3" w14:textId="77777777" w:rsidR="00DB492E" w:rsidRDefault="00DB492E" w:rsidP="00DB492E">
      <w:pPr>
        <w:pStyle w:val="Prrafodelista"/>
        <w:numPr>
          <w:ilvl w:val="0"/>
          <w:numId w:val="85"/>
        </w:numPr>
        <w:spacing w:after="160" w:line="256" w:lineRule="auto"/>
        <w:contextualSpacing/>
        <w:rPr>
          <w:rFonts w:ascii="Arial" w:eastAsia="ヒラギノ角ゴ Pro W3" w:hAnsi="Arial" w:cs="Arial"/>
          <w:sz w:val="20"/>
          <w:lang w:val="es-ES_tradnl" w:eastAsia="es-ES_tradnl"/>
        </w:rPr>
      </w:pPr>
      <w:r w:rsidRPr="00CD40B2">
        <w:rPr>
          <w:rFonts w:ascii="Arial" w:eastAsia="ヒラギノ角ゴ Pro W3" w:hAnsi="Arial" w:cs="Arial"/>
          <w:sz w:val="20"/>
          <w:lang w:val="es-ES_tradnl" w:eastAsia="es-ES_tradnl"/>
        </w:rPr>
        <w:t xml:space="preserve">Administra esquema internacional de estándares y certificación para las mejores prácticas en la emisión de bonos verdes. </w:t>
      </w:r>
    </w:p>
    <w:p w14:paraId="38A4CE03" w14:textId="77777777" w:rsidR="00DB492E" w:rsidRDefault="00DB492E" w:rsidP="00DB492E">
      <w:pPr>
        <w:pStyle w:val="Prrafodelista"/>
        <w:numPr>
          <w:ilvl w:val="0"/>
          <w:numId w:val="85"/>
        </w:numPr>
        <w:spacing w:after="160" w:line="256" w:lineRule="auto"/>
        <w:contextualSpacing/>
        <w:rPr>
          <w:rFonts w:ascii="Arial" w:eastAsia="ヒラギノ角ゴ Pro W3" w:hAnsi="Arial" w:cs="Arial"/>
          <w:sz w:val="20"/>
          <w:lang w:val="es-ES_tradnl" w:eastAsia="es-ES_tradnl"/>
        </w:rPr>
      </w:pPr>
      <w:r w:rsidRPr="00CD40B2">
        <w:rPr>
          <w:rFonts w:ascii="Arial" w:eastAsia="ヒラギノ角ゴ Pro W3" w:hAnsi="Arial" w:cs="Arial"/>
          <w:sz w:val="20"/>
          <w:lang w:val="es-ES_tradnl" w:eastAsia="es-ES_tradnl"/>
        </w:rPr>
        <w:t>Climate Bonds Standard: estándar multisectorial basado en la ciencia.</w:t>
      </w:r>
    </w:p>
    <w:p w14:paraId="0B8ECD3D" w14:textId="00E0518A" w:rsidR="00DB492E" w:rsidRPr="00CD40B2" w:rsidRDefault="00DB492E" w:rsidP="00CD40B2">
      <w:pPr>
        <w:pStyle w:val="Prrafodelista"/>
        <w:numPr>
          <w:ilvl w:val="0"/>
          <w:numId w:val="85"/>
        </w:numPr>
        <w:spacing w:after="160" w:line="256" w:lineRule="auto"/>
        <w:contextualSpacing/>
        <w:rPr>
          <w:rFonts w:ascii="Arial" w:eastAsia="ヒラギノ角ゴ Pro W3" w:hAnsi="Arial" w:cs="Arial"/>
          <w:sz w:val="20"/>
          <w:lang w:val="es-ES_tradnl" w:eastAsia="es-ES_tradnl"/>
        </w:rPr>
      </w:pPr>
      <w:r w:rsidRPr="00CD40B2">
        <w:rPr>
          <w:rFonts w:ascii="Arial" w:eastAsia="ヒラギノ角ゴ Pro W3" w:hAnsi="Arial" w:cs="Arial"/>
          <w:sz w:val="20"/>
          <w:lang w:val="es-ES_tradnl" w:eastAsia="es-ES_tradnl"/>
        </w:rPr>
        <w:t>Permite a los inversores evaluar las credenciales climáticas y la integridad ambiental de los bonos y otros productos de deuda verde.</w:t>
      </w:r>
    </w:p>
    <w:p w14:paraId="46B02243" w14:textId="5452EC4A" w:rsidR="002817B6" w:rsidRDefault="005B2030" w:rsidP="005B2030">
      <w:pPr>
        <w:pStyle w:val="Ttulo4"/>
        <w:rPr>
          <w:rFonts w:ascii="Arial" w:hAnsi="Arial" w:cs="Arial"/>
          <w:sz w:val="20"/>
        </w:rPr>
      </w:pPr>
      <w:r w:rsidRPr="005B7C72">
        <w:rPr>
          <w:rFonts w:ascii="Arial" w:hAnsi="Arial" w:cs="Arial"/>
          <w:sz w:val="20"/>
        </w:rPr>
        <w:t>5. Revisión externa</w:t>
      </w:r>
    </w:p>
    <w:p w14:paraId="0C3FBC03" w14:textId="3CF41CFC" w:rsidR="005B7C72" w:rsidRDefault="005B7C72" w:rsidP="005B7C72"/>
    <w:p w14:paraId="379FAA5B" w14:textId="6736428E" w:rsidR="005B7C72" w:rsidRDefault="005B7C72" w:rsidP="005B7C72">
      <w:pPr>
        <w:rPr>
          <w:rFonts w:ascii="Arial" w:eastAsia="ヒラギノ角ゴ Pro W3" w:hAnsi="Arial" w:cs="Arial"/>
          <w:sz w:val="20"/>
          <w:lang w:val="es-ES_tradnl" w:eastAsia="es-ES_tradnl"/>
        </w:rPr>
      </w:pPr>
      <w:bookmarkStart w:id="42" w:name="_Hlk128132343"/>
      <w:r w:rsidRPr="005B7C72">
        <w:rPr>
          <w:rFonts w:ascii="Arial" w:eastAsia="ヒラギノ角ゴ Pro W3" w:hAnsi="Arial" w:cs="Arial"/>
          <w:sz w:val="20"/>
          <w:lang w:val="es-ES_tradnl" w:eastAsia="es-ES_tradnl"/>
        </w:rPr>
        <w:t xml:space="preserve">Nombre del revisor externo: </w:t>
      </w:r>
      <w:r w:rsidR="00D92CD7" w:rsidRPr="00D92CD7">
        <w:rPr>
          <w:rFonts w:ascii="Arial" w:eastAsia="ヒラギノ角ゴ Pro W3" w:hAnsi="Arial" w:cs="Arial"/>
          <w:sz w:val="20"/>
          <w:lang w:val="es-ES_tradnl" w:eastAsia="es-ES_tradnl"/>
        </w:rPr>
        <w:t>PACIFIC CORPORATE SUSTAINABILITY (PCS)</w:t>
      </w:r>
      <w:r w:rsidR="00D92CD7">
        <w:rPr>
          <w:rFonts w:ascii="Arial" w:eastAsia="ヒラギノ角ゴ Pro W3" w:hAnsi="Arial" w:cs="Arial"/>
          <w:sz w:val="20"/>
          <w:lang w:val="es-ES_tradnl" w:eastAsia="es-ES_tradnl"/>
        </w:rPr>
        <w:t>.</w:t>
      </w:r>
    </w:p>
    <w:p w14:paraId="27A42AB6" w14:textId="77777777" w:rsidR="00F27F24" w:rsidRPr="005B7C72" w:rsidRDefault="00F27F24" w:rsidP="005B7C72">
      <w:pPr>
        <w:rPr>
          <w:rFonts w:ascii="Arial" w:eastAsia="ヒラギノ角ゴ Pro W3" w:hAnsi="Arial" w:cs="Arial"/>
          <w:sz w:val="20"/>
          <w:lang w:val="es-ES_tradnl" w:eastAsia="es-ES_tradnl"/>
        </w:rPr>
      </w:pPr>
    </w:p>
    <w:p w14:paraId="0A7C88B7" w14:textId="77777777" w:rsidR="00D92CD7" w:rsidRPr="00D92CD7" w:rsidRDefault="005B7C72" w:rsidP="00D92CD7">
      <w:pPr>
        <w:pStyle w:val="Default"/>
        <w:jc w:val="both"/>
        <w:rPr>
          <w:rFonts w:eastAsia="ヒラギノ角ゴ Pro W3"/>
          <w:color w:val="auto"/>
          <w:sz w:val="20"/>
          <w:lang w:val="es-ES_tradnl" w:eastAsia="es-ES_tradnl"/>
        </w:rPr>
      </w:pPr>
      <w:r w:rsidRPr="005B7C72">
        <w:rPr>
          <w:rFonts w:eastAsia="ヒラギノ角ゴ Pro W3"/>
          <w:sz w:val="20"/>
          <w:lang w:val="es-ES_tradnl" w:eastAsia="es-ES_tradnl"/>
        </w:rPr>
        <w:t xml:space="preserve">Metodología: </w:t>
      </w:r>
      <w:r w:rsidR="00D92CD7" w:rsidRPr="00D92CD7">
        <w:rPr>
          <w:rFonts w:eastAsia="ヒラギノ角ゴ Pro W3"/>
          <w:color w:val="auto"/>
          <w:sz w:val="20"/>
          <w:lang w:val="es-ES_tradnl" w:eastAsia="es-ES_tradnl"/>
        </w:rPr>
        <w:t xml:space="preserve">El INSTITUTO COSTARRICENSE DE ELECTRICIDAD en adelante, ICE, encargó a Pacific Corporate Sustainability (PCS) la elaboración de un Informe de Verificación Anual de Bono Verde, que toma como base el “Marco de Gestión de Bono Verde Planta Hidroeléctrica Reventazón (PHR)”, el Estándar para la Emisión de Bonos Verdes de la Bolsa Nacional De Valores de Costa Rica1 y los Principios de Bonos Verdes 2021 de la Asociación Internacional de Mercado de Capitales (ICMA)2. </w:t>
      </w:r>
    </w:p>
    <w:p w14:paraId="66958867" w14:textId="77777777" w:rsidR="00D92CD7" w:rsidRPr="00D92CD7" w:rsidRDefault="00D92CD7" w:rsidP="00D92CD7">
      <w:pPr>
        <w:pStyle w:val="Default"/>
        <w:jc w:val="both"/>
        <w:rPr>
          <w:rFonts w:eastAsia="ヒラギノ角ゴ Pro W3"/>
          <w:color w:val="auto"/>
          <w:sz w:val="20"/>
          <w:lang w:val="es-ES_tradnl" w:eastAsia="es-ES_tradnl"/>
        </w:rPr>
      </w:pPr>
      <w:r w:rsidRPr="00D92CD7">
        <w:rPr>
          <w:rFonts w:eastAsia="ヒラギノ角ゴ Pro W3"/>
          <w:color w:val="auto"/>
          <w:sz w:val="20"/>
          <w:lang w:val="es-ES_tradnl" w:eastAsia="es-ES_tradnl"/>
        </w:rPr>
        <w:t xml:space="preserve">La verificación de PCS abarcó un examen de los procedimientos, políticas y procesos pertinentes, así como la verificación de los datos proporcionados por ICE. Las actividades emprendidas fueron las siguientes: </w:t>
      </w:r>
    </w:p>
    <w:p w14:paraId="119ED2E7" w14:textId="77777777" w:rsidR="00D92CD7" w:rsidRPr="00D92CD7" w:rsidRDefault="00D92CD7" w:rsidP="00F27F24">
      <w:pPr>
        <w:pStyle w:val="Default"/>
        <w:adjustRightInd/>
        <w:spacing w:after="76"/>
        <w:jc w:val="both"/>
        <w:rPr>
          <w:rFonts w:eastAsia="ヒラギノ角ゴ Pro W3"/>
          <w:color w:val="auto"/>
          <w:sz w:val="20"/>
          <w:lang w:val="es-ES_tradnl" w:eastAsia="es-ES_tradnl"/>
        </w:rPr>
      </w:pPr>
      <w:r w:rsidRPr="00D92CD7">
        <w:rPr>
          <w:rFonts w:eastAsia="ヒラギノ角ゴ Pro W3"/>
          <w:color w:val="auto"/>
          <w:sz w:val="20"/>
          <w:lang w:val="es-ES_tradnl" w:eastAsia="es-ES_tradnl"/>
        </w:rPr>
        <w:t xml:space="preserve">• Revisión de los procesos, sistemas y controles vigentes para la gestión de los ingresos del instrumento; </w:t>
      </w:r>
    </w:p>
    <w:p w14:paraId="150DA896" w14:textId="77777777" w:rsidR="00D92CD7" w:rsidRPr="00D92CD7" w:rsidRDefault="00D92CD7" w:rsidP="00F27F24">
      <w:pPr>
        <w:pStyle w:val="Default"/>
        <w:adjustRightInd/>
        <w:spacing w:after="76"/>
        <w:jc w:val="both"/>
        <w:rPr>
          <w:rFonts w:eastAsia="ヒラギノ角ゴ Pro W3"/>
          <w:color w:val="auto"/>
          <w:sz w:val="20"/>
          <w:lang w:val="es-ES_tradnl" w:eastAsia="es-ES_tradnl"/>
        </w:rPr>
      </w:pPr>
      <w:r w:rsidRPr="00D92CD7">
        <w:rPr>
          <w:rFonts w:eastAsia="ヒラギノ角ゴ Pro W3"/>
          <w:color w:val="auto"/>
          <w:sz w:val="20"/>
          <w:lang w:val="es-ES_tradnl" w:eastAsia="es-ES_tradnl"/>
        </w:rPr>
        <w:t xml:space="preserve">• Revisión de la conformidad con los requisitos de elegibilidad, uso de fondos y reporte indicados en el “Marco de Gestión de Bono Verde Planta Hidroeléctrica Reventazón (PHR)”; </w:t>
      </w:r>
    </w:p>
    <w:p w14:paraId="48092C9A" w14:textId="02EEBC57" w:rsidR="00D92CD7" w:rsidRPr="00D92CD7" w:rsidRDefault="00D92CD7" w:rsidP="00F27F24">
      <w:pPr>
        <w:pStyle w:val="Default"/>
        <w:adjustRightInd/>
        <w:jc w:val="both"/>
        <w:rPr>
          <w:rFonts w:eastAsia="ヒラギノ角ゴ Pro W3"/>
          <w:color w:val="auto"/>
          <w:sz w:val="20"/>
          <w:lang w:val="es-ES_tradnl" w:eastAsia="es-ES_tradnl"/>
        </w:rPr>
      </w:pPr>
      <w:r w:rsidRPr="00D92CD7">
        <w:rPr>
          <w:rFonts w:eastAsia="ヒラギノ角ゴ Pro W3"/>
          <w:color w:val="auto"/>
          <w:sz w:val="20"/>
          <w:lang w:val="es-ES_tradnl" w:eastAsia="es-ES_tradnl"/>
        </w:rPr>
        <w:t>•La revisión del Reporte 202</w:t>
      </w:r>
      <w:r w:rsidR="008372F1">
        <w:rPr>
          <w:rFonts w:eastAsia="ヒラギノ角ゴ Pro W3"/>
          <w:color w:val="auto"/>
          <w:sz w:val="20"/>
          <w:lang w:val="es-ES_tradnl" w:eastAsia="es-ES_tradnl"/>
        </w:rPr>
        <w:t>3</w:t>
      </w:r>
      <w:r w:rsidRPr="00D92CD7">
        <w:rPr>
          <w:rFonts w:eastAsia="ヒラギノ角ゴ Pro W3"/>
          <w:color w:val="auto"/>
          <w:sz w:val="20"/>
          <w:lang w:val="es-ES_tradnl" w:eastAsia="es-ES_tradnl"/>
        </w:rPr>
        <w:t xml:space="preserve">-Emisión Bono Verde-PHR. </w:t>
      </w:r>
    </w:p>
    <w:p w14:paraId="2300ECEF" w14:textId="77777777" w:rsidR="00D92CD7" w:rsidRPr="00D92CD7" w:rsidRDefault="00D92CD7" w:rsidP="00D92CD7">
      <w:pPr>
        <w:pStyle w:val="Default"/>
        <w:jc w:val="both"/>
        <w:rPr>
          <w:rFonts w:eastAsia="ヒラギノ角ゴ Pro W3"/>
          <w:color w:val="auto"/>
          <w:sz w:val="20"/>
          <w:lang w:val="es-ES_tradnl" w:eastAsia="es-ES_tradnl"/>
        </w:rPr>
      </w:pPr>
    </w:p>
    <w:p w14:paraId="758E5042" w14:textId="77777777" w:rsidR="00D92CD7" w:rsidRPr="00D92CD7" w:rsidRDefault="00D92CD7" w:rsidP="00D92CD7">
      <w:pPr>
        <w:rPr>
          <w:rFonts w:ascii="Arial" w:eastAsia="ヒラギノ角ゴ Pro W3" w:hAnsi="Arial" w:cs="Arial"/>
          <w:sz w:val="20"/>
          <w:lang w:val="es-ES_tradnl" w:eastAsia="es-ES_tradnl"/>
        </w:rPr>
      </w:pPr>
      <w:r w:rsidRPr="00D92CD7">
        <w:rPr>
          <w:rFonts w:ascii="Arial" w:eastAsia="ヒラギノ角ゴ Pro W3" w:hAnsi="Arial" w:cs="Arial"/>
          <w:sz w:val="20"/>
          <w:lang w:val="es-ES_tradnl" w:eastAsia="es-ES_tradnl"/>
        </w:rPr>
        <w:t>La evaluación de PCS también contempló la revisión del cumplimiento del artículo 9 del documento SGV-A-252. LINEAMIENTOS PARA LA AUTORIZACIÓN Y REGISTRO DE EMISIONES VERDES, SOCIALES Y SOSTENIBLES DE OFERTA PÚBLICA, específicamente lo estipulado en el Anexo 3: Publicación de Informes.</w:t>
      </w:r>
    </w:p>
    <w:p w14:paraId="6FA9E018" w14:textId="77777777" w:rsidR="00D92CD7" w:rsidRPr="00D92CD7" w:rsidRDefault="00D92CD7" w:rsidP="00D92CD7">
      <w:pPr>
        <w:rPr>
          <w:rFonts w:ascii="Arial" w:eastAsia="ヒラギノ角ゴ Pro W3" w:hAnsi="Arial" w:cs="Arial"/>
          <w:sz w:val="20"/>
          <w:lang w:val="es-ES_tradnl" w:eastAsia="es-ES_tradnl"/>
        </w:rPr>
      </w:pPr>
    </w:p>
    <w:p w14:paraId="0357317D" w14:textId="6306FD1D" w:rsidR="005B7C72" w:rsidRPr="005B7C72" w:rsidRDefault="005B7C72" w:rsidP="005B7C72">
      <w:pPr>
        <w:rPr>
          <w:rFonts w:ascii="Arial" w:eastAsia="ヒラギノ角ゴ Pro W3" w:hAnsi="Arial" w:cs="Arial"/>
          <w:sz w:val="20"/>
          <w:lang w:val="es-ES_tradnl" w:eastAsia="es-ES_tradnl"/>
        </w:rPr>
      </w:pPr>
    </w:p>
    <w:p w14:paraId="43124660" w14:textId="376F1FC4" w:rsidR="005B7C72" w:rsidRPr="005B7C72" w:rsidRDefault="005B7C72" w:rsidP="005B7C72">
      <w:pPr>
        <w:rPr>
          <w:rFonts w:ascii="Arial" w:eastAsia="ヒラギノ角ゴ Pro W3" w:hAnsi="Arial" w:cs="Arial"/>
          <w:sz w:val="20"/>
          <w:lang w:val="es-ES_tradnl" w:eastAsia="es-ES_tradnl"/>
        </w:rPr>
      </w:pPr>
      <w:r w:rsidRPr="005B7C72">
        <w:rPr>
          <w:rFonts w:ascii="Arial" w:eastAsia="ヒラギノ角ゴ Pro W3" w:hAnsi="Arial" w:cs="Arial"/>
          <w:sz w:val="20"/>
          <w:lang w:val="es-ES_tradnl" w:eastAsia="es-ES_tradnl"/>
        </w:rPr>
        <w:t xml:space="preserve">Fecha de emisión: </w:t>
      </w:r>
      <w:r w:rsidR="00E25DC6">
        <w:rPr>
          <w:rFonts w:ascii="Arial" w:eastAsia="ヒラギノ角ゴ Pro W3" w:hAnsi="Arial" w:cs="Arial"/>
          <w:sz w:val="20"/>
          <w:lang w:val="es-ES_tradnl" w:eastAsia="es-ES_tradnl"/>
        </w:rPr>
        <w:t>Diciembre</w:t>
      </w:r>
      <w:r w:rsidR="00D92CD7">
        <w:rPr>
          <w:rFonts w:ascii="Arial" w:eastAsia="ヒラギノ角ゴ Pro W3" w:hAnsi="Arial" w:cs="Arial"/>
          <w:sz w:val="20"/>
          <w:lang w:val="es-ES_tradnl" w:eastAsia="es-ES_tradnl"/>
        </w:rPr>
        <w:t xml:space="preserve"> 2023</w:t>
      </w:r>
    </w:p>
    <w:p w14:paraId="2F22B308" w14:textId="47C750F7" w:rsidR="005B7C72" w:rsidRPr="005B7C72" w:rsidRDefault="005B7C72" w:rsidP="005B7C72">
      <w:pPr>
        <w:rPr>
          <w:rFonts w:ascii="Arial" w:eastAsia="ヒラギノ角ゴ Pro W3" w:hAnsi="Arial" w:cs="Arial"/>
          <w:sz w:val="20"/>
          <w:lang w:val="es-ES_tradnl" w:eastAsia="es-ES_tradnl"/>
        </w:rPr>
      </w:pPr>
      <w:r w:rsidRPr="005B7C72">
        <w:rPr>
          <w:rFonts w:ascii="Arial" w:eastAsia="ヒラギノ角ゴ Pro W3" w:hAnsi="Arial" w:cs="Arial"/>
          <w:sz w:val="20"/>
          <w:lang w:val="es-ES_tradnl" w:eastAsia="es-ES_tradnl"/>
        </w:rPr>
        <w:t xml:space="preserve">Fecha de elaboración: </w:t>
      </w:r>
      <w:r w:rsidR="00E25DC6">
        <w:rPr>
          <w:rFonts w:ascii="Arial" w:eastAsia="ヒラギノ角ゴ Pro W3" w:hAnsi="Arial" w:cs="Arial"/>
          <w:sz w:val="20"/>
          <w:lang w:val="es-ES_tradnl" w:eastAsia="es-ES_tradnl"/>
        </w:rPr>
        <w:t>Diciembre</w:t>
      </w:r>
      <w:r w:rsidR="00D92CD7">
        <w:rPr>
          <w:rFonts w:ascii="Arial" w:eastAsia="ヒラギノ角ゴ Pro W3" w:hAnsi="Arial" w:cs="Arial"/>
          <w:sz w:val="20"/>
          <w:lang w:val="es-ES_tradnl" w:eastAsia="es-ES_tradnl"/>
        </w:rPr>
        <w:t xml:space="preserve"> 2023</w:t>
      </w:r>
    </w:p>
    <w:p w14:paraId="7C08C99B" w14:textId="035FA059" w:rsidR="005B7C72" w:rsidRDefault="005B7C72" w:rsidP="005B7C72"/>
    <w:p w14:paraId="06972910" w14:textId="1CC68C89" w:rsidR="005B7C72" w:rsidRPr="005B7C72" w:rsidRDefault="005B7C72" w:rsidP="005B7C72">
      <w:pPr>
        <w:rPr>
          <w:rFonts w:ascii="Arial" w:eastAsia="ヒラギノ角ゴ Pro W3" w:hAnsi="Arial" w:cs="Arial"/>
          <w:sz w:val="20"/>
          <w:lang w:val="es-ES_tradnl" w:eastAsia="es-ES_tradnl"/>
        </w:rPr>
      </w:pPr>
      <w:r w:rsidRPr="005B7C72">
        <w:rPr>
          <w:rFonts w:ascii="Arial" w:eastAsia="ヒラギノ角ゴ Pro W3" w:hAnsi="Arial" w:cs="Arial"/>
          <w:sz w:val="20"/>
          <w:lang w:val="es-ES_tradnl" w:eastAsia="es-ES_tradnl"/>
        </w:rPr>
        <w:t>El costo de la revisión externa equivale al 0.000022% de la emisión y es asumido por el ICE.</w:t>
      </w:r>
    </w:p>
    <w:bookmarkEnd w:id="42"/>
    <w:p w14:paraId="3BF63AEC" w14:textId="77777777" w:rsidR="005B2030" w:rsidRPr="005B2030" w:rsidRDefault="005B2030" w:rsidP="005B2030"/>
    <w:p w14:paraId="21DA88CC" w14:textId="64E09510" w:rsidR="00A65F5F" w:rsidRPr="000D518B" w:rsidRDefault="00A65F5F" w:rsidP="00A65F5F">
      <w:pPr>
        <w:ind w:right="0"/>
        <w:jc w:val="left"/>
        <w:rPr>
          <w:rFonts w:ascii="Century Gothic" w:hAnsi="Century Gothic"/>
          <w:b/>
          <w:bCs/>
          <w:sz w:val="16"/>
          <w:szCs w:val="16"/>
          <w:lang w:eastAsia="es-ES"/>
        </w:rPr>
      </w:pPr>
      <w:r w:rsidRPr="000D518B">
        <w:rPr>
          <w:rFonts w:ascii="Century Gothic" w:hAnsi="Century Gothic"/>
          <w:b/>
          <w:bCs/>
          <w:sz w:val="16"/>
          <w:szCs w:val="16"/>
          <w:lang w:eastAsia="es-ES"/>
        </w:rPr>
        <w:t xml:space="preserve">Tasas de interés de Referencia </w:t>
      </w:r>
      <w:r w:rsidR="008D28D6">
        <w:rPr>
          <w:rFonts w:ascii="Century Gothic" w:hAnsi="Century Gothic"/>
          <w:b/>
          <w:bCs/>
          <w:sz w:val="16"/>
          <w:szCs w:val="16"/>
          <w:lang w:eastAsia="es-ES"/>
        </w:rPr>
        <w:t>de los Programas del ICE</w:t>
      </w:r>
    </w:p>
    <w:p w14:paraId="57BEB84C" w14:textId="77777777" w:rsidR="00A65F5F" w:rsidRPr="000D518B" w:rsidRDefault="00A65F5F" w:rsidP="00A65F5F">
      <w:pPr>
        <w:ind w:right="0"/>
        <w:jc w:val="left"/>
        <w:rPr>
          <w:rFonts w:ascii="Century Gothic" w:hAnsi="Century Gothic"/>
          <w:b/>
          <w:bCs/>
          <w:sz w:val="16"/>
          <w:szCs w:val="16"/>
        </w:rPr>
      </w:pPr>
    </w:p>
    <w:p w14:paraId="4AB132AC" w14:textId="77777777" w:rsidR="00A65F5F" w:rsidRPr="000D518B" w:rsidRDefault="00A65F5F" w:rsidP="00A65F5F">
      <w:pPr>
        <w:rPr>
          <w:i/>
          <w:iCs/>
          <w:sz w:val="22"/>
          <w:szCs w:val="22"/>
          <w:lang w:val="es-CR" w:eastAsia="en-US"/>
        </w:rPr>
      </w:pPr>
      <w:r w:rsidRPr="000D518B">
        <w:rPr>
          <w:i/>
          <w:iCs/>
        </w:rPr>
        <w:t>En colones:</w:t>
      </w:r>
    </w:p>
    <w:p w14:paraId="0AF1BC04" w14:textId="77777777" w:rsidR="00A65F5F" w:rsidRPr="000D518B" w:rsidRDefault="00A65F5F" w:rsidP="00A65F5F">
      <w:pPr>
        <w:rPr>
          <w:i/>
          <w:iCs/>
        </w:rPr>
      </w:pPr>
    </w:p>
    <w:p w14:paraId="76C69C86" w14:textId="77777777" w:rsidR="00A65F5F" w:rsidRDefault="00A65F5F" w:rsidP="00EF0D70">
      <w:pPr>
        <w:numPr>
          <w:ilvl w:val="0"/>
          <w:numId w:val="60"/>
        </w:numPr>
        <w:ind w:right="0"/>
        <w:contextualSpacing/>
        <w:rPr>
          <w:rFonts w:ascii="Arial" w:hAnsi="Arial" w:cs="Arial"/>
          <w:i/>
          <w:iCs/>
          <w:sz w:val="16"/>
          <w:szCs w:val="16"/>
          <w:lang w:val="es-ES" w:eastAsia="es-ES"/>
        </w:rPr>
      </w:pPr>
      <w:r w:rsidRPr="000D518B">
        <w:rPr>
          <w:rFonts w:ascii="Arial" w:hAnsi="Arial" w:cs="Arial"/>
          <w:i/>
          <w:iCs/>
          <w:sz w:val="16"/>
          <w:szCs w:val="16"/>
          <w:lang w:val="es-ES" w:eastAsia="es-ES"/>
        </w:rPr>
        <w:t>La tasa de interés de referencia para las emisiones con tasa de interés variable será la vigente dos días hábiles antes del inicio de cada período de pago de intereses.  La tasa que se establezca regirá para el siguiente período de devengo</w:t>
      </w:r>
      <w:r>
        <w:rPr>
          <w:rFonts w:ascii="Arial" w:hAnsi="Arial" w:cs="Arial"/>
          <w:i/>
          <w:iCs/>
          <w:sz w:val="16"/>
          <w:szCs w:val="16"/>
          <w:lang w:val="es-ES" w:eastAsia="es-ES"/>
        </w:rPr>
        <w:t xml:space="preserve"> de intereses.</w:t>
      </w:r>
    </w:p>
    <w:p w14:paraId="3C6FADED"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 xml:space="preserve">Las emisiones en moneda nacional con tasa de interés variable estarán referenciadas a la TBP (Tasa Básica Pasiva), la cual es calculada por el Banco Central de Costa Rica y publicada </w:t>
      </w:r>
      <w:r w:rsidRPr="00013991">
        <w:rPr>
          <w:rFonts w:ascii="Arial" w:hAnsi="Arial" w:cs="Arial"/>
          <w:i/>
          <w:iCs/>
          <w:sz w:val="16"/>
          <w:szCs w:val="16"/>
          <w:lang w:val="es-ES" w:eastAsia="es-ES"/>
        </w:rPr>
        <w:t>semanalmente los días miércoles de cada semana</w:t>
      </w:r>
      <w:r>
        <w:rPr>
          <w:rFonts w:ascii="Arial" w:hAnsi="Arial" w:cs="Arial"/>
          <w:i/>
          <w:iCs/>
          <w:sz w:val="16"/>
          <w:szCs w:val="16"/>
          <w:lang w:val="es-ES" w:eastAsia="es-ES"/>
        </w:rPr>
        <w:t xml:space="preserve"> a las 8:00 a.m.,  a través de su sitio  web </w:t>
      </w:r>
      <w:hyperlink r:id="rId19" w:history="1">
        <w:r>
          <w:rPr>
            <w:rStyle w:val="Hipervnculo"/>
            <w:rFonts w:ascii="Arial" w:hAnsi="Arial" w:cs="Arial"/>
            <w:i/>
            <w:iCs/>
            <w:sz w:val="16"/>
            <w:szCs w:val="16"/>
            <w:lang w:val="es-ES" w:eastAsia="es-ES"/>
          </w:rPr>
          <w:t>http://www.bccr.fi.cr</w:t>
        </w:r>
      </w:hyperlink>
      <w:r>
        <w:rPr>
          <w:rFonts w:ascii="Arial" w:hAnsi="Arial" w:cs="Arial"/>
          <w:i/>
          <w:iCs/>
          <w:sz w:val="16"/>
          <w:szCs w:val="16"/>
          <w:lang w:val="es-ES" w:eastAsia="es-ES"/>
        </w:rPr>
        <w:t xml:space="preserve"> ; en este mismo sitio puede consultarse su metodología y forma de cálculo  mediante el siguiente enlace electrónico  </w:t>
      </w:r>
      <w:hyperlink r:id="rId20" w:history="1">
        <w:r>
          <w:rPr>
            <w:rStyle w:val="Hipervnculo"/>
            <w:rFonts w:ascii="Arial" w:hAnsi="Arial" w:cs="Arial"/>
            <w:i/>
            <w:iCs/>
            <w:sz w:val="16"/>
            <w:szCs w:val="16"/>
            <w:lang w:val="es-ES" w:eastAsia="es-ES"/>
          </w:rPr>
          <w:t>https://www.bccr.fi.cr/seccion-indicadores-economicos/tasas-de-interés</w:t>
        </w:r>
      </w:hyperlink>
    </w:p>
    <w:p w14:paraId="237030A5" w14:textId="77777777" w:rsidR="00A65F5F" w:rsidRDefault="00A65F5F" w:rsidP="00A65F5F">
      <w:pPr>
        <w:rPr>
          <w:rFonts w:ascii="Arial" w:hAnsi="Arial" w:cs="Arial"/>
          <w:i/>
          <w:iCs/>
          <w:sz w:val="16"/>
          <w:szCs w:val="16"/>
          <w:lang w:val="es-CR" w:eastAsia="es-CR"/>
        </w:rPr>
      </w:pPr>
    </w:p>
    <w:p w14:paraId="2206F1BA"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En el evento de que, a la fecha de liquidación de intereses, la TBP no haya sido publicada para la semana correspondiente, el rendimiento se liquidará con el último dato oficial disponible por el Banco Central de Costa Rica sin que posteriormente haya lugar a reliquidación.</w:t>
      </w:r>
    </w:p>
    <w:p w14:paraId="7F74207E"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La tasa básica pasiva es un promedio ponderado de las tasas de interés brutas de captación a plazo en colones, de los distintos grupos de intermediarios financieros, que conforman las Otras Sociedades de Depósito (OSD). Este promedio se redondeará al veinteavo de punto porcentual más cercano.</w:t>
      </w:r>
    </w:p>
    <w:p w14:paraId="250F7D42"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Forma de cálculo:</w:t>
      </w:r>
    </w:p>
    <w:p w14:paraId="5E450DA3"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i. La tasa básica pasiva se calculará con la información de las tasas de interés brutas negociadas para cada una de las operaciones de captación a plazo en colones, durante la semana anterior al cálculo (de miércoles a martes), por parte de los intermediarios financieros incluidos en una muestra determinada por la División Económica del Banco Central.</w:t>
      </w:r>
    </w:p>
    <w:p w14:paraId="1A291D0E"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ii. La muestra se conformará con aquellos intermediarios, supervisados por la Superintendencia General de Entidades Financieras (SUGEF), cuyas captaciones en conjunto sumen al menos el 95% del saldo promedio de los últimos 6 meses, de la captación a plazo en colones (definida en las cuentas monetarias) de las OSD. Las entidades seleccionadas estarán clasificadas por grupo de intermediarios financieros.</w:t>
      </w:r>
    </w:p>
    <w:p w14:paraId="364C58B6"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De esta manera, con la última información disponible en las cuentas monetarias se definirían cuatro grupos de intermediarios financieros: bancos públicos, bancos privados, cooperativas y mutuales.</w:t>
      </w:r>
    </w:p>
    <w:p w14:paraId="29F4018E"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Esta muestra deberá ser revisada, como mínimo, en febrero de cada año y en caso que una única entidad conforme un grupo ésta pasará a formar parte del grupo con el cual tenga características similares, lo anterior debido a que, por Ley, el Banco Central de Costa Rica está obligado a guardar la confidencialidad de la información individual que le suministren las personas físicas y jurídicas.</w:t>
      </w:r>
    </w:p>
    <w:p w14:paraId="10EC6A59"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En caso de que algún intermediario incluido en la muestra deje de operar, el cálculo de la tasa básica pasiva se realizará con la información de los intermediarios financieros autorizados a funcionar, hasta que se sustituya por otra entidad que permita cumplir con lo estipulado en este ordinal.</w:t>
      </w:r>
    </w:p>
    <w:p w14:paraId="58B88FED"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iii. La tasa básica pasiva se calculará el día miércoles de cada semana o el día hábil inmediato anterior en caso de ser éste un día no hábil.</w:t>
      </w:r>
    </w:p>
    <w:p w14:paraId="3B766EC2" w14:textId="77777777" w:rsidR="00A65F5F" w:rsidRDefault="00A65F5F" w:rsidP="00A65F5F">
      <w:pPr>
        <w:ind w:left="525"/>
        <w:contextualSpacing/>
        <w:rPr>
          <w:rFonts w:ascii="Arial" w:hAnsi="Arial" w:cs="Arial"/>
          <w:i/>
          <w:iCs/>
          <w:sz w:val="16"/>
          <w:szCs w:val="16"/>
          <w:lang w:val="es-ES" w:eastAsia="es-ES"/>
        </w:rPr>
      </w:pPr>
      <w:r>
        <w:rPr>
          <w:rFonts w:ascii="Arial" w:hAnsi="Arial" w:cs="Arial"/>
          <w:i/>
          <w:iCs/>
          <w:sz w:val="16"/>
          <w:szCs w:val="16"/>
          <w:lang w:val="es-ES" w:eastAsia="es-ES"/>
        </w:rPr>
        <w:t>Ante un eventual cese del cálculo de esta tasa, para los inversionistas la situación planteada es transparente dado que el ICE mantendrá los valores de tasa de la última publicación por parte del BCCR para la tasa base utilizada en la emisión del bono estandarizado hasta su vencimiento, siendo respetadas íntegramente las condiciones asignadas de inversión.</w:t>
      </w:r>
    </w:p>
    <w:p w14:paraId="4983E563" w14:textId="77777777" w:rsidR="00A65F5F" w:rsidRPr="006800D3" w:rsidRDefault="00A65F5F" w:rsidP="00A65F5F">
      <w:pPr>
        <w:ind w:left="525"/>
        <w:contextualSpacing/>
        <w:rPr>
          <w:rFonts w:ascii="Arial" w:hAnsi="Arial" w:cs="Arial"/>
          <w:i/>
          <w:iCs/>
          <w:sz w:val="16"/>
          <w:szCs w:val="16"/>
          <w:lang w:val="es-ES" w:eastAsia="es-ES"/>
        </w:rPr>
      </w:pPr>
      <w:r w:rsidRPr="006800D3">
        <w:rPr>
          <w:rFonts w:ascii="Arial" w:hAnsi="Arial" w:cs="Arial"/>
          <w:i/>
          <w:iCs/>
          <w:sz w:val="16"/>
          <w:szCs w:val="16"/>
          <w:lang w:val="es-ES" w:eastAsia="es-ES"/>
        </w:rPr>
        <w:t xml:space="preserve">Ante un eventual cambio de la metodología para el cálculo de la TBP de parte del Banco Central de Costa Rica, el ICE se acogerá a la nueva TPB, pudiendo tener consecuencias para el inversionista, al existir la posibilidad de que perciba un interés diferente al esperado. </w:t>
      </w:r>
    </w:p>
    <w:p w14:paraId="6403E9CB" w14:textId="77777777" w:rsidR="00A65F5F" w:rsidRDefault="00A65F5F" w:rsidP="00A65F5F">
      <w:pPr>
        <w:ind w:left="525"/>
        <w:contextualSpacing/>
        <w:rPr>
          <w:rFonts w:ascii="Arial" w:hAnsi="Arial" w:cs="Arial"/>
          <w:i/>
          <w:iCs/>
          <w:sz w:val="16"/>
          <w:szCs w:val="16"/>
          <w:lang w:val="es-ES" w:eastAsia="es-ES"/>
        </w:rPr>
      </w:pPr>
    </w:p>
    <w:p w14:paraId="052D00FE" w14:textId="77777777" w:rsidR="00A65F5F" w:rsidRDefault="00A65F5F" w:rsidP="00A65F5F">
      <w:pPr>
        <w:rPr>
          <w:rFonts w:ascii="Calibri" w:hAnsi="Calibri"/>
          <w:i/>
          <w:iCs/>
          <w:sz w:val="22"/>
          <w:szCs w:val="22"/>
          <w:lang w:val="es-ES" w:eastAsia="en-US"/>
        </w:rPr>
      </w:pPr>
      <w:r>
        <w:rPr>
          <w:i/>
          <w:iCs/>
          <w:lang w:val="es-ES"/>
        </w:rPr>
        <w:t>Para dólares:</w:t>
      </w:r>
    </w:p>
    <w:p w14:paraId="2A8BC77F" w14:textId="77777777" w:rsidR="00A65F5F" w:rsidRDefault="00A65F5F" w:rsidP="00A65F5F">
      <w:pPr>
        <w:rPr>
          <w:i/>
          <w:iCs/>
          <w:lang w:val="es-ES"/>
        </w:rPr>
      </w:pPr>
    </w:p>
    <w:p w14:paraId="4F7127F4" w14:textId="77777777" w:rsidR="00A65F5F" w:rsidRPr="00013991" w:rsidRDefault="00A65F5F" w:rsidP="00EF0D70">
      <w:pPr>
        <w:pStyle w:val="Prrafodelista"/>
        <w:numPr>
          <w:ilvl w:val="0"/>
          <w:numId w:val="61"/>
        </w:numPr>
        <w:ind w:right="0"/>
        <w:contextualSpacing/>
        <w:rPr>
          <w:i/>
          <w:iCs/>
          <w:lang w:val="es-ES"/>
        </w:rPr>
      </w:pPr>
      <w:r>
        <w:rPr>
          <w:rFonts w:ascii="Arial" w:hAnsi="Arial" w:cs="Arial"/>
          <w:i/>
          <w:iCs/>
          <w:sz w:val="16"/>
          <w:szCs w:val="16"/>
          <w:lang w:val="es-ES"/>
        </w:rPr>
        <w:t xml:space="preserve">El </w:t>
      </w:r>
      <w:r w:rsidRPr="00013991">
        <w:rPr>
          <w:rFonts w:ascii="Arial" w:hAnsi="Arial" w:cs="Arial"/>
          <w:i/>
          <w:iCs/>
          <w:sz w:val="16"/>
          <w:szCs w:val="16"/>
          <w:lang w:val="es-ES"/>
        </w:rPr>
        <w:t>emisor se reservó el derecho de definir tasa de interés fija o variable. En el caso que se definiera tasa de interés variable se referenció a la Tasa Libor (6 meses) y aplicando la vigente 2 días hábiles antes de la fecha de inicio de cada período de pago de intereses.</w:t>
      </w:r>
      <w:r w:rsidRPr="00013991">
        <w:rPr>
          <w:i/>
          <w:iCs/>
          <w:lang w:val="es-ES"/>
        </w:rPr>
        <w:t xml:space="preserve"> </w:t>
      </w:r>
    </w:p>
    <w:p w14:paraId="4316AD28" w14:textId="77777777" w:rsidR="00A65F5F" w:rsidRPr="00013991" w:rsidRDefault="00A65F5F" w:rsidP="00A65F5F">
      <w:pPr>
        <w:pStyle w:val="Prrafodelista"/>
        <w:ind w:left="525"/>
        <w:rPr>
          <w:rFonts w:ascii="Arial" w:hAnsi="Arial" w:cs="Arial"/>
          <w:i/>
          <w:iCs/>
          <w:sz w:val="16"/>
          <w:szCs w:val="16"/>
          <w:lang w:val="es-ES"/>
        </w:rPr>
      </w:pPr>
      <w:r w:rsidRPr="00013991">
        <w:rPr>
          <w:rFonts w:ascii="Arial" w:hAnsi="Arial" w:cs="Arial"/>
          <w:i/>
          <w:iCs/>
          <w:sz w:val="16"/>
          <w:szCs w:val="16"/>
          <w:lang w:val="es-ES"/>
        </w:rPr>
        <w:t>La LIBOR (London InterBank Offered Rate) es una tasa de referencia diaria basada en las tasas de interés bajo la cual los bancos ofrecen fondos no asegurados a otros bancos en el mercado monetario mayorista (o mercado interbancario). LIBOR será ligeramente superior a la tasa London Interbank Bid Rate, la tasa efectiva bajo la cual los bancos están preparados para aceptar depósitos.</w:t>
      </w:r>
    </w:p>
    <w:p w14:paraId="57FDB87D" w14:textId="77777777" w:rsidR="00A65F5F" w:rsidRPr="00013991" w:rsidRDefault="00A65F5F" w:rsidP="00A65F5F">
      <w:pPr>
        <w:pStyle w:val="Prrafodelista"/>
        <w:ind w:left="525"/>
        <w:rPr>
          <w:rFonts w:ascii="Arial" w:hAnsi="Arial" w:cs="Arial"/>
          <w:i/>
          <w:iCs/>
          <w:sz w:val="16"/>
          <w:szCs w:val="16"/>
          <w:lang w:val="es-ES"/>
        </w:rPr>
      </w:pPr>
      <w:r w:rsidRPr="00013991">
        <w:rPr>
          <w:rFonts w:ascii="Arial" w:hAnsi="Arial" w:cs="Arial"/>
          <w:i/>
          <w:iCs/>
          <w:sz w:val="16"/>
          <w:szCs w:val="16"/>
          <w:lang w:val="es-ES"/>
        </w:rPr>
        <w:t>Para efectos del cálculo de intereses se utilizará como base, años de 360 días y meses de 30 días.</w:t>
      </w:r>
    </w:p>
    <w:p w14:paraId="3B9B6EE6" w14:textId="77777777" w:rsidR="00A65F5F" w:rsidRPr="00BC791D" w:rsidRDefault="00A65F5F" w:rsidP="00A65F5F">
      <w:pPr>
        <w:pStyle w:val="Prrafodelista"/>
        <w:ind w:left="525"/>
        <w:rPr>
          <w:rFonts w:ascii="Arial" w:hAnsi="Arial" w:cs="Arial"/>
          <w:i/>
          <w:iCs/>
          <w:sz w:val="16"/>
          <w:szCs w:val="16"/>
          <w:lang w:val="es-ES"/>
        </w:rPr>
      </w:pPr>
      <w:r w:rsidRPr="00013991">
        <w:rPr>
          <w:rFonts w:ascii="Arial" w:hAnsi="Arial" w:cs="Arial"/>
          <w:i/>
          <w:iCs/>
          <w:sz w:val="16"/>
          <w:szCs w:val="16"/>
          <w:lang w:val="es-ES"/>
        </w:rPr>
        <w:t xml:space="preserve">Asimismo, el margen se ha definido en puntos bases, considerando que un punto base (1pb) es definido como 0.0001 o </w:t>
      </w:r>
      <w:r w:rsidRPr="00BC791D">
        <w:rPr>
          <w:rFonts w:ascii="Arial" w:hAnsi="Arial" w:cs="Arial"/>
          <w:i/>
          <w:iCs/>
          <w:sz w:val="16"/>
          <w:szCs w:val="16"/>
          <w:lang w:val="es-ES"/>
        </w:rPr>
        <w:t>equivalente al 0.01%.</w:t>
      </w:r>
    </w:p>
    <w:p w14:paraId="54FA3F13" w14:textId="77777777" w:rsidR="00A65F5F" w:rsidRPr="00BC791D"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La entidad encargada del cálculo de la tasa es el Intercontinental Exchange (ICE).</w:t>
      </w:r>
    </w:p>
    <w:p w14:paraId="1F52ADB9" w14:textId="77777777" w:rsidR="00A65F5F" w:rsidRPr="00BC791D" w:rsidRDefault="00A65F5F" w:rsidP="00A65F5F">
      <w:pPr>
        <w:pStyle w:val="TDC3"/>
        <w:ind w:left="525"/>
        <w:rPr>
          <w:rFonts w:ascii="Arial" w:hAnsi="Arial" w:cs="Arial"/>
          <w:i/>
          <w:iCs/>
          <w:sz w:val="16"/>
          <w:szCs w:val="16"/>
          <w:lang w:val="es-ES"/>
        </w:rPr>
      </w:pPr>
      <w:r w:rsidRPr="00BC791D">
        <w:rPr>
          <w:rFonts w:ascii="Arial" w:hAnsi="Arial" w:cs="Arial"/>
          <w:i/>
          <w:iCs/>
          <w:sz w:val="16"/>
          <w:szCs w:val="16"/>
          <w:lang w:val="es-ES"/>
        </w:rPr>
        <w:t>El indicador es publicado por Thomson Reuters los días hábiles a las 11:45 am Greenwich Mean Time (GMT)</w:t>
      </w:r>
    </w:p>
    <w:p w14:paraId="41DF4250" w14:textId="77777777" w:rsidR="00A65F5F" w:rsidRPr="00BC791D"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Bloomberg que cuenta con la licencia publica el indicador en su sistema y para acceder a este, a su vez, se debe contar con una licencia, la cual el ICE tiene.</w:t>
      </w:r>
    </w:p>
    <w:p w14:paraId="2CFFC211" w14:textId="77777777" w:rsidR="00A65F5F" w:rsidRPr="00BC791D"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Ante un eventual cese del cálculo de esta tasa, el ICE mantendrá los valores de tasa de la última publicación para la tasa base utilizada en la emisión del bono estandarizado hasta su vencimiento, siendo respetadas íntegramente las condiciones asignadas de inversión.</w:t>
      </w:r>
    </w:p>
    <w:p w14:paraId="6AC4D932" w14:textId="77777777" w:rsidR="00A65F5F" w:rsidRPr="00BC791D" w:rsidRDefault="00A65F5F" w:rsidP="00A65F5F">
      <w:pPr>
        <w:pStyle w:val="Prrafodelista"/>
        <w:ind w:left="525"/>
        <w:rPr>
          <w:rFonts w:ascii="Arial" w:hAnsi="Arial" w:cs="Arial"/>
          <w:i/>
          <w:iCs/>
          <w:sz w:val="16"/>
          <w:szCs w:val="16"/>
          <w:lang w:val="es-ES"/>
        </w:rPr>
      </w:pPr>
    </w:p>
    <w:p w14:paraId="1CCD36E5" w14:textId="77777777" w:rsidR="00A65F5F" w:rsidRPr="00BC791D"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 xml:space="preserve">La metodología del cálculo de la LIBOR puede ser consultada en el sitio web </w:t>
      </w:r>
      <w:hyperlink r:id="rId21" w:anchor="calculating" w:history="1">
        <w:r w:rsidRPr="00BC791D">
          <w:rPr>
            <w:rFonts w:ascii="Arial" w:hAnsi="Arial" w:cs="Arial"/>
            <w:i/>
            <w:iCs/>
            <w:sz w:val="16"/>
            <w:szCs w:val="16"/>
            <w:lang w:val="es-ES"/>
          </w:rPr>
          <w:t>https://www.theice.com/iba/libor#calculating</w:t>
        </w:r>
      </w:hyperlink>
      <w:r w:rsidRPr="00BC791D">
        <w:rPr>
          <w:rFonts w:ascii="Arial" w:hAnsi="Arial" w:cs="Arial"/>
          <w:i/>
          <w:iCs/>
          <w:sz w:val="16"/>
          <w:szCs w:val="16"/>
          <w:lang w:val="es-ES"/>
        </w:rPr>
        <w:t>.</w:t>
      </w:r>
    </w:p>
    <w:p w14:paraId="07BFC00B" w14:textId="77777777" w:rsidR="00A65F5F" w:rsidRPr="00BC791D" w:rsidRDefault="00A65F5F" w:rsidP="00A65F5F">
      <w:pPr>
        <w:pStyle w:val="Prrafodelista"/>
        <w:ind w:left="525"/>
        <w:rPr>
          <w:rFonts w:ascii="Arial" w:hAnsi="Arial" w:cs="Arial"/>
          <w:i/>
          <w:iCs/>
          <w:sz w:val="16"/>
          <w:szCs w:val="16"/>
          <w:lang w:val="es-ES"/>
        </w:rPr>
      </w:pPr>
    </w:p>
    <w:p w14:paraId="62371918" w14:textId="77777777" w:rsidR="00A65F5F" w:rsidRPr="00BC791D"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En el evento de que a la fecha de liquidación de intereses, la LIBOR no haya sido publicada para el día correspondiente o que en los mercados internacionales no hayan definido una tasa con los usos que tiene la LIBOR, el rendimiento se liquidará con el último dato oficial disponible por el ICE sin que posteriormente haya lugar a reliquidación.</w:t>
      </w:r>
    </w:p>
    <w:p w14:paraId="76CAA946" w14:textId="77777777" w:rsidR="00A65F5F" w:rsidRPr="00BC791D" w:rsidRDefault="00A65F5F" w:rsidP="00A65F5F">
      <w:pPr>
        <w:pStyle w:val="Prrafodelista"/>
        <w:ind w:left="525"/>
        <w:rPr>
          <w:rFonts w:ascii="Arial" w:hAnsi="Arial" w:cs="Arial"/>
          <w:i/>
          <w:iCs/>
          <w:sz w:val="16"/>
          <w:szCs w:val="16"/>
          <w:lang w:val="es-ES"/>
        </w:rPr>
      </w:pPr>
    </w:p>
    <w:p w14:paraId="57CCD06C" w14:textId="77777777" w:rsidR="00A65F5F" w:rsidRPr="006800D3" w:rsidRDefault="00A65F5F" w:rsidP="00A65F5F">
      <w:pPr>
        <w:pStyle w:val="Prrafodelista"/>
        <w:ind w:left="525"/>
        <w:rPr>
          <w:rFonts w:ascii="Arial" w:hAnsi="Arial" w:cs="Arial"/>
          <w:i/>
          <w:iCs/>
          <w:sz w:val="16"/>
          <w:szCs w:val="16"/>
          <w:lang w:val="es-ES"/>
        </w:rPr>
      </w:pPr>
      <w:r w:rsidRPr="00BC791D">
        <w:rPr>
          <w:rFonts w:ascii="Arial" w:hAnsi="Arial" w:cs="Arial"/>
          <w:i/>
          <w:iCs/>
          <w:sz w:val="16"/>
          <w:szCs w:val="16"/>
          <w:lang w:val="es-ES"/>
        </w:rPr>
        <w:t>Ante un eventual cambio de la metodología para el cálculo de la tasa LIBOR de parte de la ICE, el Instituto Costarricense de Electricidad se acogerá a la nueva tasa LIBOR, pudiendo tener consecuencias para el inversionista, al existir la posibilidad de que perciba un interés diferente al esperado.</w:t>
      </w:r>
    </w:p>
    <w:p w14:paraId="6764B1F3" w14:textId="77777777" w:rsidR="00A65F5F" w:rsidRPr="00DE74CA" w:rsidRDefault="00A65F5F" w:rsidP="00A65F5F">
      <w:pPr>
        <w:pStyle w:val="Prrafodelista"/>
        <w:ind w:left="525"/>
        <w:rPr>
          <w:color w:val="000000"/>
          <w:sz w:val="22"/>
        </w:rPr>
      </w:pPr>
    </w:p>
    <w:p w14:paraId="1D0B94A4" w14:textId="77777777" w:rsidR="00A65F5F" w:rsidRPr="00C732D5" w:rsidRDefault="00A65F5F" w:rsidP="00A65F5F">
      <w:pPr>
        <w:pStyle w:val="Prrafodelista"/>
        <w:ind w:left="525"/>
        <w:rPr>
          <w:rFonts w:ascii="Arial" w:hAnsi="Arial" w:cs="Arial"/>
          <w:i/>
          <w:iCs/>
          <w:sz w:val="16"/>
          <w:szCs w:val="16"/>
          <w:lang w:val="es-ES"/>
        </w:rPr>
      </w:pPr>
    </w:p>
    <w:p w14:paraId="06E92EED" w14:textId="77777777" w:rsidR="00A65F5F" w:rsidRPr="00846A95" w:rsidRDefault="00A65F5F" w:rsidP="00A65F5F">
      <w:pPr>
        <w:ind w:left="-567" w:right="-25"/>
      </w:pPr>
      <w:r w:rsidRPr="004504ED">
        <w:t>Según el artículo 11 del Reglamento sobre oferta pública de valores, cada emisión de los programas deberá mantener</w:t>
      </w:r>
      <w:r w:rsidRPr="00846A95">
        <w:t xml:space="preserve"> un monto mínimo de ¢100.000.000 o su equivalente en dólares y un número mínimo de 200 valores, con el propósito de asegurar la existencia de un volumen suficiente de títulos para dar profundidad al mercado secundario.</w:t>
      </w:r>
    </w:p>
    <w:p w14:paraId="3AB9F0F2" w14:textId="77777777" w:rsidR="00A65F5F" w:rsidRPr="00846A95" w:rsidRDefault="00A65F5F" w:rsidP="00A65F5F">
      <w:pPr>
        <w:ind w:right="-25"/>
      </w:pPr>
    </w:p>
    <w:p w14:paraId="0A5D4C42" w14:textId="77777777" w:rsidR="00A65F5F" w:rsidRDefault="00A65F5F" w:rsidP="00A65F5F">
      <w:pPr>
        <w:ind w:left="-540" w:right="-25"/>
      </w:pPr>
      <w:r w:rsidRPr="006E73E4">
        <w:t>La definición de las características de cada una de las emisiones dentro de</w:t>
      </w:r>
      <w:r>
        <w:t xml:space="preserve"> los</w:t>
      </w:r>
      <w:r w:rsidRPr="006E73E4">
        <w:t xml:space="preserve"> programa</w:t>
      </w:r>
      <w:r>
        <w:t xml:space="preserve">s </w:t>
      </w:r>
      <w:r w:rsidRPr="006E73E4">
        <w:t xml:space="preserve">se deberá realizar dentro de los </w:t>
      </w:r>
      <w:r>
        <w:t>4</w:t>
      </w:r>
      <w:r w:rsidRPr="006E73E4">
        <w:t xml:space="preserve"> años siguientes a la fecha de su registro. En ningún caso, la fecha de emisión de cada una de las emisiones del programa podrá ser posterior a este plazo.  El Superintendente podrá autorizar, a partir de una solicitud justificada presentada con anterioridad al vencimiento del plazo original, que el plazo para la definición de emisiones del programa se extienda hasta por un año más.</w:t>
      </w:r>
    </w:p>
    <w:p w14:paraId="05FCD099" w14:textId="77777777" w:rsidR="00A65F5F" w:rsidRPr="00846A95" w:rsidRDefault="00A65F5F" w:rsidP="00A65F5F">
      <w:pPr>
        <w:pStyle w:val="Ttulo3"/>
        <w:numPr>
          <w:ilvl w:val="2"/>
          <w:numId w:val="1"/>
        </w:numPr>
        <w:ind w:left="142" w:hanging="709"/>
      </w:pPr>
      <w:bookmarkStart w:id="43" w:name="_Toc170110714"/>
      <w:bookmarkStart w:id="44" w:name="_Toc304737147"/>
      <w:bookmarkStart w:id="45" w:name="_Toc343675972"/>
      <w:bookmarkStart w:id="46" w:name="_Toc358619338"/>
      <w:bookmarkStart w:id="47" w:name="_Toc358620603"/>
      <w:bookmarkStart w:id="48" w:name="_Toc358621810"/>
      <w:bookmarkStart w:id="49" w:name="_Toc358622787"/>
      <w:bookmarkStart w:id="50" w:name="_Toc421264426"/>
      <w:bookmarkStart w:id="51" w:name="_Toc26357100"/>
      <w:bookmarkStart w:id="52" w:name="_Toc138664889"/>
      <w:r w:rsidRPr="00846A95">
        <w:t xml:space="preserve">Forma de Colocación </w:t>
      </w:r>
      <w:bookmarkEnd w:id="43"/>
      <w:r w:rsidRPr="00846A95">
        <w:t>de las emisiones</w:t>
      </w:r>
      <w:bookmarkEnd w:id="44"/>
      <w:bookmarkEnd w:id="45"/>
      <w:bookmarkEnd w:id="46"/>
      <w:bookmarkEnd w:id="47"/>
      <w:bookmarkEnd w:id="48"/>
      <w:bookmarkEnd w:id="49"/>
      <w:bookmarkEnd w:id="50"/>
      <w:bookmarkEnd w:id="51"/>
      <w:bookmarkEnd w:id="52"/>
    </w:p>
    <w:p w14:paraId="4EDB4450" w14:textId="77777777" w:rsidR="00A65F5F" w:rsidRDefault="00A65F5F" w:rsidP="00A65F5F">
      <w:pPr>
        <w:ind w:left="-540" w:right="-25"/>
      </w:pPr>
    </w:p>
    <w:p w14:paraId="4CD89CE2" w14:textId="77777777" w:rsidR="00A65F5F" w:rsidRDefault="00A65F5F" w:rsidP="00A65F5F">
      <w:pPr>
        <w:ind w:left="-540" w:right="-25"/>
      </w:pPr>
      <w:r>
        <w:t xml:space="preserve">Las emisiones se podrán colocar en el mercado de valores de Costa Rica o en cualquier otro mercado de valores </w:t>
      </w:r>
      <w:r w:rsidRPr="00DB69B7">
        <w:t>organizado</w:t>
      </w:r>
      <w:r>
        <w:t xml:space="preserve"> del exterior. Las emisiones a colocar en el exterior se comunicarán por medio de Hecho Relevante al menos 1 día hábil antes de cada colocación, el monto convocado, la fecha y el mercado en que será colocada.</w:t>
      </w:r>
    </w:p>
    <w:p w14:paraId="2D07728E" w14:textId="77777777" w:rsidR="00A65F5F" w:rsidRPr="00CB4A9B" w:rsidRDefault="00A65F5F" w:rsidP="00A65F5F">
      <w:pPr>
        <w:rPr>
          <w:highlight w:val="yellow"/>
          <w:lang w:val="es-CR"/>
        </w:rPr>
      </w:pPr>
    </w:p>
    <w:p w14:paraId="11C26D02" w14:textId="77777777" w:rsidR="00A65F5F" w:rsidRPr="00CB4A9B" w:rsidRDefault="00A65F5F" w:rsidP="00A65F5F">
      <w:pPr>
        <w:rPr>
          <w:highlight w:val="yellow"/>
          <w:lang w:val="es-CR"/>
        </w:rPr>
      </w:pPr>
    </w:p>
    <w:p w14:paraId="6ADC9AC6" w14:textId="77777777" w:rsidR="00A65F5F" w:rsidRPr="00F573E3" w:rsidRDefault="00A65F5F" w:rsidP="00EF0D70">
      <w:pPr>
        <w:pStyle w:val="Prrafodelista"/>
        <w:numPr>
          <w:ilvl w:val="0"/>
          <w:numId w:val="59"/>
        </w:numPr>
      </w:pPr>
      <w:r w:rsidRPr="00F573E3">
        <w:t xml:space="preserve">Los mecanismos de colocación que se podrán utilizar son colocación directa, subasta y contratos de colocación. </w:t>
      </w:r>
    </w:p>
    <w:p w14:paraId="2C2A8ED9" w14:textId="77777777" w:rsidR="00A65F5F" w:rsidRPr="00F573E3" w:rsidRDefault="00A65F5F" w:rsidP="00A65F5F">
      <w:pPr>
        <w:pStyle w:val="Prrafodelista"/>
        <w:ind w:left="1065"/>
      </w:pPr>
    </w:p>
    <w:p w14:paraId="77B6EA7A" w14:textId="77777777" w:rsidR="00A65F5F" w:rsidRPr="00F573E3" w:rsidRDefault="00A65F5F" w:rsidP="00EF0D70">
      <w:pPr>
        <w:pStyle w:val="Prrafodelista"/>
        <w:numPr>
          <w:ilvl w:val="0"/>
          <w:numId w:val="59"/>
        </w:numPr>
      </w:pPr>
      <w:r w:rsidRPr="00F573E3">
        <w:t>En las colocaciones fuera de bolsa, si se llegaren a utilizar, excepto en el caso de la suscripción en firme por la totalidad de la emisión, se brindará un trato igualitario a los inversionistas en el acceso y difusión de la información sobre la emisión y el mecanismo de colocación, así como en las condiciones de la colocación.</w:t>
      </w:r>
    </w:p>
    <w:p w14:paraId="3F4E4DBF" w14:textId="77777777" w:rsidR="00A65F5F" w:rsidRPr="00F573E3" w:rsidRDefault="00A65F5F" w:rsidP="00A65F5F">
      <w:pPr>
        <w:pStyle w:val="Prrafodelista"/>
      </w:pPr>
    </w:p>
    <w:p w14:paraId="3A0962F1" w14:textId="77777777" w:rsidR="00A65F5F" w:rsidRPr="00F573E3" w:rsidRDefault="00A65F5F" w:rsidP="00A65F5F"/>
    <w:p w14:paraId="15258721" w14:textId="77777777" w:rsidR="00A65F5F" w:rsidRPr="00F573E3" w:rsidRDefault="00A65F5F" w:rsidP="00EF0D70">
      <w:pPr>
        <w:pStyle w:val="Prrafodelista"/>
        <w:numPr>
          <w:ilvl w:val="0"/>
          <w:numId w:val="59"/>
        </w:numPr>
      </w:pPr>
      <w:r w:rsidRPr="00F573E3">
        <w:t xml:space="preserve">Si se llegaren a utilizar las colocaciones fuera de bolsa, se definirá el mecanismo a utilizar y las reglas que aplicará al mecanismo seleccionado. </w:t>
      </w:r>
    </w:p>
    <w:p w14:paraId="5BBDACB7" w14:textId="77777777" w:rsidR="00A65F5F" w:rsidRPr="00F573E3" w:rsidRDefault="00A65F5F" w:rsidP="00A65F5F">
      <w:pPr>
        <w:pStyle w:val="Prrafodelista"/>
        <w:ind w:left="1065"/>
      </w:pPr>
    </w:p>
    <w:p w14:paraId="1697DD5F" w14:textId="77777777" w:rsidR="00A65F5F" w:rsidRPr="00F573E3" w:rsidRDefault="00A65F5F" w:rsidP="00EF0D70">
      <w:pPr>
        <w:pStyle w:val="Prrafodelista"/>
        <w:numPr>
          <w:ilvl w:val="0"/>
          <w:numId w:val="59"/>
        </w:numPr>
      </w:pPr>
      <w:r w:rsidRPr="00F573E3">
        <w:t>Las colocaciones por bolsa se sujetarán a los mecanismos y disposiciones que la bolsa de valores respectiva disponga por vía reglamentaria, en concordancia con el principio de trato igual</w:t>
      </w:r>
      <w:r>
        <w:t>itario señalado en el numeral “b”</w:t>
      </w:r>
      <w:r w:rsidRPr="00F573E3">
        <w:t xml:space="preserve"> anterior.</w:t>
      </w:r>
    </w:p>
    <w:p w14:paraId="5B1446C6" w14:textId="77777777" w:rsidR="00A65F5F" w:rsidRPr="00F573E3" w:rsidRDefault="00A65F5F" w:rsidP="00A65F5F">
      <w:pPr>
        <w:pStyle w:val="Prrafodelista"/>
      </w:pPr>
    </w:p>
    <w:p w14:paraId="33EBFBC9" w14:textId="77777777" w:rsidR="00A65F5F" w:rsidRDefault="00A65F5F" w:rsidP="00EF0D70">
      <w:pPr>
        <w:pStyle w:val="Prrafodelista"/>
        <w:numPr>
          <w:ilvl w:val="0"/>
          <w:numId w:val="59"/>
        </w:numPr>
      </w:pPr>
      <w:r w:rsidRPr="00F573E3">
        <w:t>La convocatoria de la colocación (fuera o dentro de bolsa) y sus condiciones, se informarán mediante un Comunicado de Hecho Relevante 2 días hábiles antes de las colocaciones posteriores.</w:t>
      </w:r>
    </w:p>
    <w:p w14:paraId="7F273066" w14:textId="77777777" w:rsidR="00632D4D" w:rsidRPr="00F573E3" w:rsidRDefault="00632D4D" w:rsidP="00632D4D"/>
    <w:p w14:paraId="1D78A5DA" w14:textId="77777777" w:rsidR="00A65F5F" w:rsidRPr="00F573E3" w:rsidRDefault="00A65F5F" w:rsidP="00EF0D70">
      <w:pPr>
        <w:pStyle w:val="Prrafodelista"/>
        <w:numPr>
          <w:ilvl w:val="0"/>
          <w:numId w:val="59"/>
        </w:numPr>
      </w:pPr>
      <w:r w:rsidRPr="00F573E3">
        <w:t>En caso de que se utilice un contrato de colocación, el emisor informará mediante Comunicado de Hecho Relevante el nombre de los suscriptores, la naturaleza y el plazo de las obligaciones de los intermediarios, el monto a suscribir por cada uno, las compensaciones convenidas y el precio a pagar por los valores, como máximo 1 día hábil después de la firma del contrato.</w:t>
      </w:r>
    </w:p>
    <w:p w14:paraId="387F6C25" w14:textId="77777777" w:rsidR="00A65F5F" w:rsidRPr="00CB4A9B" w:rsidRDefault="00A65F5F" w:rsidP="00A65F5F"/>
    <w:p w14:paraId="0B649A04" w14:textId="77777777" w:rsidR="00A65F5F" w:rsidRPr="00CB4A9B" w:rsidRDefault="00A65F5F" w:rsidP="00A65F5F">
      <w:pPr>
        <w:pStyle w:val="incisos"/>
        <w:numPr>
          <w:ilvl w:val="0"/>
          <w:numId w:val="0"/>
        </w:numPr>
        <w:rPr>
          <w:szCs w:val="24"/>
          <w:lang w:val="es-MX"/>
        </w:rPr>
      </w:pPr>
    </w:p>
    <w:p w14:paraId="2D754560" w14:textId="77777777" w:rsidR="00A65F5F" w:rsidRPr="00670E95" w:rsidRDefault="00A65F5F" w:rsidP="00A65F5F">
      <w:pPr>
        <w:pStyle w:val="Ttulo3"/>
        <w:numPr>
          <w:ilvl w:val="2"/>
          <w:numId w:val="1"/>
        </w:numPr>
        <w:ind w:left="142" w:hanging="709"/>
      </w:pPr>
      <w:bookmarkStart w:id="53" w:name="_Toc304737148"/>
      <w:bookmarkStart w:id="54" w:name="_Toc343675974"/>
      <w:bookmarkStart w:id="55" w:name="_Toc358619340"/>
      <w:bookmarkStart w:id="56" w:name="_Toc358620605"/>
      <w:bookmarkStart w:id="57" w:name="_Toc358621812"/>
      <w:bookmarkStart w:id="58" w:name="_Toc358622789"/>
      <w:bookmarkStart w:id="59" w:name="_Toc421264428"/>
      <w:bookmarkStart w:id="60" w:name="_Toc26357101"/>
      <w:bookmarkStart w:id="61" w:name="_Toc138664890"/>
      <w:r>
        <w:t>Garantías</w:t>
      </w:r>
      <w:bookmarkEnd w:id="53"/>
      <w:bookmarkEnd w:id="54"/>
      <w:bookmarkEnd w:id="55"/>
      <w:bookmarkEnd w:id="56"/>
      <w:bookmarkEnd w:id="57"/>
      <w:bookmarkEnd w:id="58"/>
      <w:bookmarkEnd w:id="59"/>
      <w:bookmarkEnd w:id="60"/>
      <w:bookmarkEnd w:id="61"/>
    </w:p>
    <w:p w14:paraId="06F33704" w14:textId="77777777" w:rsidR="00A65F5F" w:rsidRDefault="00A65F5F" w:rsidP="00A65F5F">
      <w:pPr>
        <w:ind w:left="-142" w:right="-25"/>
        <w:rPr>
          <w:lang w:val="es-ES"/>
        </w:rPr>
      </w:pPr>
    </w:p>
    <w:p w14:paraId="3B923E57" w14:textId="77777777" w:rsidR="00A65F5F" w:rsidRDefault="00A65F5F" w:rsidP="00A65F5F">
      <w:pPr>
        <w:ind w:left="-567" w:right="-25"/>
        <w:rPr>
          <w:lang w:val="es-ES"/>
        </w:rPr>
      </w:pPr>
      <w:r w:rsidRPr="00BB002C">
        <w:rPr>
          <w:lang w:val="es-ES"/>
        </w:rPr>
        <w:t xml:space="preserve">Las series de emisiones </w:t>
      </w:r>
      <w:r>
        <w:rPr>
          <w:lang w:val="es-ES"/>
        </w:rPr>
        <w:t>pertenecientes a los Programas A, B, E</w:t>
      </w:r>
      <w:r w:rsidRPr="00BC791D">
        <w:rPr>
          <w:lang w:val="es-ES"/>
        </w:rPr>
        <w:t>, F y G</w:t>
      </w:r>
      <w:r>
        <w:rPr>
          <w:lang w:val="es-ES"/>
        </w:rPr>
        <w:t xml:space="preserve"> de Deuda Estandarizada</w:t>
      </w:r>
      <w:r w:rsidRPr="00BB002C">
        <w:rPr>
          <w:lang w:val="es-ES"/>
        </w:rPr>
        <w:t xml:space="preserve"> de</w:t>
      </w:r>
      <w:r>
        <w:rPr>
          <w:lang w:val="es-ES"/>
        </w:rPr>
        <w:t>l Instituto Costarricense de Electricidad</w:t>
      </w:r>
      <w:r w:rsidRPr="00BB002C">
        <w:rPr>
          <w:lang w:val="es-ES"/>
        </w:rPr>
        <w:t xml:space="preserve"> no cuentan con ninguna garantía específica</w:t>
      </w:r>
      <w:r>
        <w:rPr>
          <w:lang w:val="es-ES"/>
        </w:rPr>
        <w:t>.</w:t>
      </w:r>
    </w:p>
    <w:p w14:paraId="746E57AF" w14:textId="77777777" w:rsidR="00A65F5F" w:rsidRDefault="00A65F5F" w:rsidP="00A65F5F">
      <w:pPr>
        <w:ind w:left="-540" w:right="-25"/>
      </w:pPr>
    </w:p>
    <w:p w14:paraId="4826CABC" w14:textId="77777777" w:rsidR="00A65F5F" w:rsidRPr="00A03F9B" w:rsidRDefault="00A65F5F" w:rsidP="00A65F5F">
      <w:pPr>
        <w:pStyle w:val="Ttulo3"/>
        <w:numPr>
          <w:ilvl w:val="2"/>
          <w:numId w:val="1"/>
        </w:numPr>
        <w:ind w:left="-567" w:firstLine="0"/>
      </w:pPr>
      <w:bookmarkStart w:id="62" w:name="_Toc304737149"/>
      <w:bookmarkStart w:id="63" w:name="_Toc343675975"/>
      <w:bookmarkStart w:id="64" w:name="_Toc358619341"/>
      <w:bookmarkStart w:id="65" w:name="_Toc358620606"/>
      <w:bookmarkStart w:id="66" w:name="_Toc358621813"/>
      <w:bookmarkStart w:id="67" w:name="_Toc358622790"/>
      <w:bookmarkStart w:id="68" w:name="_Toc421264429"/>
      <w:bookmarkStart w:id="69" w:name="_Toc26357102"/>
      <w:bookmarkStart w:id="70" w:name="_Toc138664891"/>
      <w:r w:rsidRPr="00A03F9B">
        <w:t>Prelación de Pagos</w:t>
      </w:r>
      <w:bookmarkEnd w:id="62"/>
      <w:bookmarkEnd w:id="63"/>
      <w:bookmarkEnd w:id="64"/>
      <w:bookmarkEnd w:id="65"/>
      <w:bookmarkEnd w:id="66"/>
      <w:bookmarkEnd w:id="67"/>
      <w:bookmarkEnd w:id="68"/>
      <w:bookmarkEnd w:id="69"/>
      <w:bookmarkEnd w:id="70"/>
    </w:p>
    <w:p w14:paraId="133C795F" w14:textId="77777777" w:rsidR="00A65F5F" w:rsidRPr="00196127" w:rsidRDefault="00A65F5F" w:rsidP="00A65F5F"/>
    <w:p w14:paraId="1208FAA5" w14:textId="77777777" w:rsidR="00A65F5F" w:rsidRDefault="00A65F5F" w:rsidP="00A65F5F">
      <w:pPr>
        <w:ind w:left="-540" w:right="-25"/>
      </w:pPr>
      <w:r w:rsidRPr="00196127">
        <w:t>La prelación de pagos consiste en el orden en el cual los acreedores de una entidad serían pagados ante la eventual quiebra de su deudor.</w:t>
      </w:r>
      <w:r w:rsidRPr="00CF428D">
        <w:t xml:space="preserve"> En el caso del ICE los créditos de los trabajadores gozarán de un privilegio especialísimo sobre todos los demás acreedores de la masa, de conformidad con el artículo 33 del código de trabajo.  En el caso de otras obligaciones se mantienen las mismas condiciones de prelación de pagos de los acreedores actuales (principio de pari passu)</w:t>
      </w:r>
      <w:r>
        <w:t xml:space="preserve"> y aplica a las emisiones de estos programas de emisiones. Es decir, todos los restantes acreedores tienen la misma prioridad de pago.</w:t>
      </w:r>
    </w:p>
    <w:p w14:paraId="7D844A34" w14:textId="77777777" w:rsidR="00A65F5F" w:rsidRDefault="00A65F5F" w:rsidP="00A65F5F">
      <w:pPr>
        <w:ind w:left="-540" w:right="-25"/>
      </w:pPr>
    </w:p>
    <w:p w14:paraId="571FAAEB" w14:textId="77777777" w:rsidR="00A65F5F" w:rsidRPr="00983DFF" w:rsidRDefault="00A65F5F" w:rsidP="00A65F5F">
      <w:pPr>
        <w:ind w:left="-567"/>
        <w:rPr>
          <w:lang w:val="es-CR"/>
        </w:rPr>
      </w:pPr>
      <w:r w:rsidRPr="00983DFF">
        <w:rPr>
          <w:lang w:val="es-CR"/>
        </w:rPr>
        <w:t>El Instituto Costarricense de Electricidad aplicará la siguiente regla de prelación de pagos a sus acreedores, acudiendo en primera instancia a su patrimonio y según el siguiente orden de acuerdo con el artículo 886 del Código de Comercio y los artículos 981 y 989 hasta 993 del Código Civil:</w:t>
      </w:r>
    </w:p>
    <w:p w14:paraId="74ECE74A" w14:textId="77777777" w:rsidR="00A65F5F" w:rsidRPr="00983DFF" w:rsidRDefault="00A65F5F" w:rsidP="00A65F5F">
      <w:pPr>
        <w:ind w:left="360"/>
        <w:rPr>
          <w:lang w:val="es-CR"/>
        </w:rPr>
      </w:pPr>
    </w:p>
    <w:p w14:paraId="3F71EDA1" w14:textId="77777777" w:rsidR="00A65F5F" w:rsidRPr="00983DFF" w:rsidRDefault="00A65F5F" w:rsidP="00A65F5F">
      <w:pPr>
        <w:numPr>
          <w:ilvl w:val="0"/>
          <w:numId w:val="17"/>
        </w:numPr>
        <w:spacing w:before="120" w:after="120"/>
        <w:ind w:left="360"/>
        <w:rPr>
          <w:lang w:val="es-CR"/>
        </w:rPr>
      </w:pPr>
      <w:r w:rsidRPr="00983DFF">
        <w:rPr>
          <w:lang w:val="es-CR"/>
        </w:rPr>
        <w:t>Pago de créditos privilegiados (pasivos con garantías reales, obligaciones con los trabajadores, pago de impuestos vencidos y cualquier otro cuyo privilegio esté establecido por ley).</w:t>
      </w:r>
    </w:p>
    <w:p w14:paraId="10B61B20" w14:textId="77777777" w:rsidR="00A65F5F" w:rsidRPr="00983DFF" w:rsidRDefault="00A65F5F" w:rsidP="00A65F5F">
      <w:pPr>
        <w:ind w:left="360"/>
        <w:rPr>
          <w:lang w:val="es-CR"/>
        </w:rPr>
      </w:pPr>
    </w:p>
    <w:p w14:paraId="353B41BD" w14:textId="77777777" w:rsidR="00A65F5F" w:rsidRPr="00983DFF" w:rsidRDefault="00A65F5F" w:rsidP="00A65F5F">
      <w:pPr>
        <w:numPr>
          <w:ilvl w:val="0"/>
          <w:numId w:val="18"/>
        </w:numPr>
        <w:spacing w:before="120" w:after="120"/>
        <w:ind w:left="360"/>
        <w:rPr>
          <w:lang w:val="es-CR"/>
        </w:rPr>
      </w:pPr>
      <w:r w:rsidRPr="00983DFF">
        <w:rPr>
          <w:lang w:val="es-CR"/>
        </w:rPr>
        <w:t xml:space="preserve">Pago de obligaciones comunes o quirografarias, lo que incluye el pago a los tenedores de </w:t>
      </w:r>
      <w:r>
        <w:rPr>
          <w:lang w:val="es-CR"/>
        </w:rPr>
        <w:t xml:space="preserve">las </w:t>
      </w:r>
      <w:r w:rsidRPr="00C7335A">
        <w:rPr>
          <w:lang w:val="es-CR"/>
        </w:rPr>
        <w:t>emisiones de los programas de bonos y papel comercial</w:t>
      </w:r>
      <w:r w:rsidRPr="00983DFF">
        <w:rPr>
          <w:lang w:val="es-CR"/>
        </w:rPr>
        <w:t xml:space="preserve"> y el pago de cualquier otro gasto.</w:t>
      </w:r>
    </w:p>
    <w:p w14:paraId="3D55C275" w14:textId="77777777" w:rsidR="00A65F5F" w:rsidRDefault="00A65F5F" w:rsidP="00A65F5F">
      <w:pPr>
        <w:rPr>
          <w:lang w:val="es-CR"/>
        </w:rPr>
      </w:pPr>
    </w:p>
    <w:p w14:paraId="1E11D155" w14:textId="77777777" w:rsidR="00A65F5F" w:rsidRPr="00670E95" w:rsidRDefault="00A65F5F" w:rsidP="00A65F5F">
      <w:pPr>
        <w:pStyle w:val="Ttulo3"/>
        <w:numPr>
          <w:ilvl w:val="2"/>
          <w:numId w:val="1"/>
        </w:numPr>
        <w:ind w:left="-567" w:firstLine="0"/>
      </w:pPr>
      <w:bookmarkStart w:id="71" w:name="_Toc234925781"/>
      <w:bookmarkStart w:id="72" w:name="_Toc235615212"/>
      <w:bookmarkStart w:id="73" w:name="_Toc235616700"/>
      <w:bookmarkStart w:id="74" w:name="_Toc234925782"/>
      <w:bookmarkStart w:id="75" w:name="_Toc235615213"/>
      <w:bookmarkStart w:id="76" w:name="_Toc235616701"/>
      <w:bookmarkStart w:id="77" w:name="_Toc234925783"/>
      <w:bookmarkStart w:id="78" w:name="_Toc235615214"/>
      <w:bookmarkStart w:id="79" w:name="_Toc235616702"/>
      <w:bookmarkStart w:id="80" w:name="_Toc234925784"/>
      <w:bookmarkStart w:id="81" w:name="_Toc235615215"/>
      <w:bookmarkStart w:id="82" w:name="_Toc235616703"/>
      <w:bookmarkStart w:id="83" w:name="_Toc304737150"/>
      <w:bookmarkStart w:id="84" w:name="_Toc343675976"/>
      <w:bookmarkStart w:id="85" w:name="_Toc358619342"/>
      <w:bookmarkStart w:id="86" w:name="_Toc358620607"/>
      <w:bookmarkStart w:id="87" w:name="_Toc358621814"/>
      <w:bookmarkStart w:id="88" w:name="_Toc358622791"/>
      <w:bookmarkStart w:id="89" w:name="_Toc421264430"/>
      <w:bookmarkStart w:id="90" w:name="_Toc26357103"/>
      <w:bookmarkStart w:id="91" w:name="_Toc138664892"/>
      <w:bookmarkEnd w:id="71"/>
      <w:bookmarkEnd w:id="72"/>
      <w:bookmarkEnd w:id="73"/>
      <w:bookmarkEnd w:id="74"/>
      <w:bookmarkEnd w:id="75"/>
      <w:bookmarkEnd w:id="76"/>
      <w:bookmarkEnd w:id="77"/>
      <w:bookmarkEnd w:id="78"/>
      <w:bookmarkEnd w:id="79"/>
      <w:bookmarkEnd w:id="80"/>
      <w:bookmarkEnd w:id="81"/>
      <w:bookmarkEnd w:id="82"/>
      <w:r>
        <w:t>Calificación de riesgo</w:t>
      </w:r>
      <w:bookmarkEnd w:id="83"/>
      <w:bookmarkEnd w:id="84"/>
      <w:bookmarkEnd w:id="85"/>
      <w:bookmarkEnd w:id="86"/>
      <w:bookmarkEnd w:id="87"/>
      <w:bookmarkEnd w:id="88"/>
      <w:bookmarkEnd w:id="89"/>
      <w:bookmarkEnd w:id="90"/>
      <w:bookmarkEnd w:id="91"/>
    </w:p>
    <w:p w14:paraId="2C9860A7" w14:textId="77777777" w:rsidR="00A65F5F" w:rsidRPr="00670E95" w:rsidRDefault="00A65F5F" w:rsidP="00A65F5F">
      <w:pPr>
        <w:ind w:left="-540" w:right="-25"/>
        <w:rPr>
          <w:lang w:val="es-ES"/>
        </w:rPr>
      </w:pPr>
    </w:p>
    <w:p w14:paraId="6CC0B80A" w14:textId="77777777" w:rsidR="00A65F5F" w:rsidRPr="006F1B19" w:rsidRDefault="00A65F5F" w:rsidP="00A65F5F">
      <w:pPr>
        <w:ind w:left="-540" w:right="-25"/>
        <w:rPr>
          <w:lang w:val="es-ES"/>
        </w:rPr>
      </w:pPr>
      <w:r w:rsidRPr="006F1B19">
        <w:rPr>
          <w:lang w:val="es-ES"/>
        </w:rPr>
        <w:t>Según el artículo 2 del Reglamento sobre Calificación de Valores y Sociedades Calificadores de Riesgo, las emisiones de valores de instituciones públicas no bancarias costarricenses no son objeto de calificación de riesgo obligatoria.</w:t>
      </w:r>
    </w:p>
    <w:p w14:paraId="38613B83" w14:textId="77777777" w:rsidR="00A65F5F" w:rsidRPr="006F1B19" w:rsidRDefault="00A65F5F" w:rsidP="00A65F5F">
      <w:pPr>
        <w:ind w:left="-540" w:right="-25"/>
        <w:rPr>
          <w:lang w:val="es-ES"/>
        </w:rPr>
      </w:pPr>
      <w:r w:rsidRPr="006F1B19">
        <w:rPr>
          <w:lang w:val="es-ES"/>
        </w:rPr>
        <w:t>Dicho artículo indica lo siguiente: “Están sujetos al requisito de la calificación obligatoria los siguientes valores o productos autorizados según el Reglamento sobre oferta pública de valores o el Reglamento general sobre sociedades administradoras y fondos de inversión:</w:t>
      </w:r>
    </w:p>
    <w:p w14:paraId="0534EF61" w14:textId="77777777" w:rsidR="00A65F5F" w:rsidRPr="006F1B19" w:rsidRDefault="00A65F5F" w:rsidP="00A65F5F">
      <w:pPr>
        <w:ind w:left="-540" w:right="-25"/>
        <w:rPr>
          <w:lang w:val="es-ES"/>
        </w:rPr>
      </w:pPr>
    </w:p>
    <w:p w14:paraId="5AD00719" w14:textId="77777777" w:rsidR="00A65F5F" w:rsidRPr="006F1B19" w:rsidRDefault="00A65F5F" w:rsidP="00A65F5F">
      <w:pPr>
        <w:numPr>
          <w:ilvl w:val="0"/>
          <w:numId w:val="11"/>
        </w:numPr>
        <w:ind w:right="-25"/>
        <w:rPr>
          <w:lang w:val="es-ES"/>
        </w:rPr>
      </w:pPr>
      <w:r w:rsidRPr="006F1B19">
        <w:rPr>
          <w:lang w:val="es-ES"/>
        </w:rPr>
        <w:t xml:space="preserve">Emisiones de deuda y bonos convertibles, exceptuando las emisiones de valores del Estado e instituciones públicas no bancarias costarricenses </w:t>
      </w:r>
    </w:p>
    <w:p w14:paraId="79AD2006" w14:textId="77777777" w:rsidR="00A65F5F" w:rsidRPr="006F1B19" w:rsidRDefault="00A65F5F" w:rsidP="00A65F5F">
      <w:pPr>
        <w:ind w:left="-567" w:right="-25"/>
        <w:rPr>
          <w:lang w:val="es-ES"/>
        </w:rPr>
      </w:pPr>
    </w:p>
    <w:p w14:paraId="01B26D23" w14:textId="29866DFE" w:rsidR="00A65F5F" w:rsidRDefault="00A65F5F" w:rsidP="000D518B">
      <w:pPr>
        <w:ind w:left="-567" w:right="-25"/>
        <w:rPr>
          <w:lang w:val="es-ES"/>
        </w:rPr>
      </w:pPr>
      <w:r w:rsidRPr="00081293">
        <w:rPr>
          <w:lang w:val="es-ES"/>
        </w:rPr>
        <w:t>El Consejo de Calificación de la empresa Calificadora de Riesg</w:t>
      </w:r>
      <w:r w:rsidR="000D518B" w:rsidRPr="00081293">
        <w:rPr>
          <w:lang w:val="es-ES"/>
        </w:rPr>
        <w:t xml:space="preserve">o Fitch Ratings, en su sesión </w:t>
      </w:r>
      <w:r w:rsidR="00A92245">
        <w:rPr>
          <w:lang w:val="es-ES"/>
        </w:rPr>
        <w:t>CRI_2023_13</w:t>
      </w:r>
      <w:r w:rsidRPr="00081293">
        <w:rPr>
          <w:lang w:val="es-ES"/>
        </w:rPr>
        <w:t xml:space="preserve">, con fecha </w:t>
      </w:r>
      <w:r w:rsidR="00A92245">
        <w:rPr>
          <w:lang w:val="es-ES"/>
        </w:rPr>
        <w:t>21</w:t>
      </w:r>
      <w:r w:rsidRPr="00081293">
        <w:rPr>
          <w:lang w:val="es-ES"/>
        </w:rPr>
        <w:t xml:space="preserve"> de </w:t>
      </w:r>
      <w:r w:rsidR="00A92245">
        <w:rPr>
          <w:lang w:val="es-ES"/>
        </w:rPr>
        <w:t>abril</w:t>
      </w:r>
      <w:r w:rsidRPr="00081293">
        <w:rPr>
          <w:lang w:val="es-ES"/>
        </w:rPr>
        <w:t xml:space="preserve"> de 20</w:t>
      </w:r>
      <w:r w:rsidR="00C05E62" w:rsidRPr="00081293">
        <w:rPr>
          <w:lang w:val="es-ES"/>
        </w:rPr>
        <w:t>2</w:t>
      </w:r>
      <w:r w:rsidR="00A92245">
        <w:rPr>
          <w:lang w:val="es-ES"/>
        </w:rPr>
        <w:t>3</w:t>
      </w:r>
      <w:r w:rsidRPr="00081293">
        <w:rPr>
          <w:lang w:val="es-ES"/>
        </w:rPr>
        <w:t>, con base en información financiera auditada al 31 de diciembre de 20</w:t>
      </w:r>
      <w:r w:rsidR="00626033">
        <w:rPr>
          <w:lang w:val="es-ES"/>
        </w:rPr>
        <w:t>21</w:t>
      </w:r>
      <w:r w:rsidRPr="00081293">
        <w:rPr>
          <w:lang w:val="es-ES"/>
        </w:rPr>
        <w:t xml:space="preserve"> y no</w:t>
      </w:r>
      <w:r w:rsidR="000D518B" w:rsidRPr="00081293">
        <w:rPr>
          <w:lang w:val="es-ES"/>
        </w:rPr>
        <w:t xml:space="preserve"> auditada al 3</w:t>
      </w:r>
      <w:r w:rsidR="00081293" w:rsidRPr="00081293">
        <w:rPr>
          <w:lang w:val="es-ES"/>
        </w:rPr>
        <w:t>0</w:t>
      </w:r>
      <w:r w:rsidRPr="00081293">
        <w:rPr>
          <w:lang w:val="es-ES"/>
        </w:rPr>
        <w:t xml:space="preserve"> de </w:t>
      </w:r>
      <w:r w:rsidR="00081293" w:rsidRPr="00081293">
        <w:rPr>
          <w:lang w:val="es-ES"/>
        </w:rPr>
        <w:t>setiembre</w:t>
      </w:r>
      <w:r w:rsidRPr="00081293">
        <w:rPr>
          <w:lang w:val="es-ES"/>
        </w:rPr>
        <w:t xml:space="preserve"> de 20</w:t>
      </w:r>
      <w:r w:rsidR="002143DF" w:rsidRPr="00081293">
        <w:rPr>
          <w:lang w:val="es-ES"/>
        </w:rPr>
        <w:t>2</w:t>
      </w:r>
      <w:r w:rsidR="00A92245">
        <w:rPr>
          <w:lang w:val="es-ES"/>
        </w:rPr>
        <w:t>2</w:t>
      </w:r>
      <w:r w:rsidRPr="00081293">
        <w:rPr>
          <w:lang w:val="es-ES"/>
        </w:rPr>
        <w:t xml:space="preserve">, </w:t>
      </w:r>
      <w:r w:rsidR="002143DF" w:rsidRPr="00081293">
        <w:rPr>
          <w:lang w:val="es-ES"/>
        </w:rPr>
        <w:t>afirmó</w:t>
      </w:r>
      <w:r w:rsidRPr="002E1290">
        <w:rPr>
          <w:lang w:val="es-ES"/>
        </w:rPr>
        <w:t xml:space="preserve"> la calificación de riesgo</w:t>
      </w:r>
      <w:r w:rsidR="00E75248" w:rsidRPr="002E1290">
        <w:rPr>
          <w:lang w:val="es-ES"/>
        </w:rPr>
        <w:t xml:space="preserve"> </w:t>
      </w:r>
      <w:r w:rsidR="002143DF" w:rsidRPr="006F7C49">
        <w:rPr>
          <w:lang w:val="es-ES"/>
        </w:rPr>
        <w:t>en</w:t>
      </w:r>
      <w:r w:rsidR="00E75248" w:rsidRPr="006F7C49">
        <w:rPr>
          <w:lang w:val="es-ES"/>
        </w:rPr>
        <w:t xml:space="preserve"> ‘AA+(cri)’ </w:t>
      </w:r>
      <w:r w:rsidR="002143DF" w:rsidRPr="00B131AE">
        <w:rPr>
          <w:lang w:val="es-ES"/>
        </w:rPr>
        <w:t>con</w:t>
      </w:r>
      <w:r w:rsidRPr="00B131AE">
        <w:rPr>
          <w:lang w:val="es-ES"/>
        </w:rPr>
        <w:t xml:space="preserve"> perspectiva estable al Instituto Costarricense de Electricidad y subsidiarias y a sus programas de emisiones de bono</w:t>
      </w:r>
      <w:r w:rsidR="000D518B" w:rsidRPr="00B131AE">
        <w:rPr>
          <w:lang w:val="es-ES"/>
        </w:rPr>
        <w:t>s estandarizados ya existentes.</w:t>
      </w:r>
    </w:p>
    <w:p w14:paraId="35117B02" w14:textId="77777777" w:rsidR="002143DF" w:rsidRDefault="002143DF" w:rsidP="000D518B">
      <w:pPr>
        <w:ind w:left="-567" w:right="-25"/>
        <w:rPr>
          <w:lang w:val="es-ES"/>
        </w:rPr>
      </w:pPr>
    </w:p>
    <w:p w14:paraId="7AA8C468" w14:textId="77777777" w:rsidR="002143DF" w:rsidRPr="006B309A" w:rsidRDefault="002143DF" w:rsidP="000D518B">
      <w:pPr>
        <w:ind w:left="-567" w:right="-25"/>
        <w:rPr>
          <w:lang w:val="es-ES"/>
        </w:rPr>
      </w:pPr>
      <w:r>
        <w:rPr>
          <w:lang w:val="es-ES"/>
        </w:rPr>
        <w:t xml:space="preserve">Las calificaciones nacionales “AA” con perspectiva estable denotan expectativas de muy bajo riesgo de incumplimiento en relación a otros emisores u obligaciones en el mismo país.  El riesgo de incumplimiento difiere sólo ligeramente del de los emisores u obligaciones con las más altas calificaciones del país. </w:t>
      </w:r>
    </w:p>
    <w:p w14:paraId="3783C1F8" w14:textId="77777777" w:rsidR="000D518B" w:rsidRPr="006B309A" w:rsidRDefault="000D518B" w:rsidP="000D518B">
      <w:pPr>
        <w:ind w:left="-567" w:right="-25"/>
        <w:rPr>
          <w:lang w:val="es-ES"/>
        </w:rPr>
      </w:pPr>
    </w:p>
    <w:p w14:paraId="54B5080E" w14:textId="77777777" w:rsidR="00A65F5F" w:rsidRPr="00B15423" w:rsidRDefault="00A65F5F" w:rsidP="00A65F5F">
      <w:pPr>
        <w:ind w:left="-540"/>
      </w:pPr>
      <w:r w:rsidRPr="00C7335A">
        <w:t>La calificación se actualiza semestralmente y puede ser consultada en las oficinas centrales del emisor y en la Superintendencia General de Valores.</w:t>
      </w:r>
    </w:p>
    <w:p w14:paraId="4002ED6F" w14:textId="77777777" w:rsidR="00A65F5F" w:rsidRPr="00B15423" w:rsidRDefault="00A65F5F" w:rsidP="00A65F5F">
      <w:pPr>
        <w:ind w:left="-567" w:right="-25"/>
      </w:pPr>
    </w:p>
    <w:p w14:paraId="4B5B87D3" w14:textId="77777777" w:rsidR="00A65F5F" w:rsidRPr="00670E95" w:rsidRDefault="00A65F5F" w:rsidP="00A65F5F">
      <w:pPr>
        <w:pStyle w:val="Ttulo3"/>
        <w:numPr>
          <w:ilvl w:val="2"/>
          <w:numId w:val="1"/>
        </w:numPr>
        <w:ind w:left="142" w:hanging="709"/>
      </w:pPr>
      <w:bookmarkStart w:id="92" w:name="_Toc228013091"/>
      <w:bookmarkStart w:id="93" w:name="_Toc228084785"/>
      <w:bookmarkStart w:id="94" w:name="_Toc228087342"/>
      <w:bookmarkStart w:id="95" w:name="_Toc304737151"/>
      <w:bookmarkStart w:id="96" w:name="_Toc343675977"/>
      <w:bookmarkStart w:id="97" w:name="_Toc358619343"/>
      <w:bookmarkStart w:id="98" w:name="_Toc358620608"/>
      <w:bookmarkStart w:id="99" w:name="_Toc358621815"/>
      <w:bookmarkStart w:id="100" w:name="_Toc358622792"/>
      <w:bookmarkStart w:id="101" w:name="_Toc421264431"/>
      <w:bookmarkStart w:id="102" w:name="_Toc26357104"/>
      <w:bookmarkStart w:id="103" w:name="_Toc138664893"/>
      <w:bookmarkEnd w:id="92"/>
      <w:bookmarkEnd w:id="93"/>
      <w:bookmarkEnd w:id="94"/>
      <w:r>
        <w:t>Cláusula de redención anticipada Programa de Bonos Estandarizado</w:t>
      </w:r>
      <w:bookmarkEnd w:id="95"/>
      <w:r>
        <w:t>s</w:t>
      </w:r>
      <w:bookmarkEnd w:id="96"/>
      <w:bookmarkEnd w:id="97"/>
      <w:bookmarkEnd w:id="98"/>
      <w:bookmarkEnd w:id="99"/>
      <w:bookmarkEnd w:id="100"/>
      <w:bookmarkEnd w:id="101"/>
      <w:bookmarkEnd w:id="102"/>
      <w:bookmarkEnd w:id="103"/>
    </w:p>
    <w:p w14:paraId="117694F4" w14:textId="77777777" w:rsidR="00A65F5F" w:rsidRPr="00670E95" w:rsidRDefault="00A65F5F" w:rsidP="00A65F5F">
      <w:pPr>
        <w:ind w:left="-540" w:right="-25"/>
        <w:rPr>
          <w:lang w:val="es-ES"/>
        </w:rPr>
      </w:pPr>
    </w:p>
    <w:p w14:paraId="0D3D0C51" w14:textId="77777777" w:rsidR="00A65F5F" w:rsidRDefault="00A65F5F" w:rsidP="00A65F5F">
      <w:pPr>
        <w:ind w:left="-540" w:right="-25"/>
        <w:rPr>
          <w:lang w:val="es-ES"/>
        </w:rPr>
      </w:pPr>
      <w:r w:rsidRPr="001E3F99">
        <w:rPr>
          <w:lang w:val="es-ES"/>
        </w:rPr>
        <w:t xml:space="preserve">Las emisiones pertenecientes a los Programas podrán o no tener una opción de redención anticipada. Las opciones de redención anticipada son discrecionales del emisor. Dicha redención se realizará en efectivo a un precio del 100% de su valor nominal. El emisor comunicará con al menos 2 meses de anticipación, la fecha y el monto a redimir. </w:t>
      </w:r>
      <w:r w:rsidRPr="008A6C42">
        <w:rPr>
          <w:lang w:val="es-ES"/>
        </w:rPr>
        <w:t>La fecha a partir de la cual se puede comenzar a redimir la emisión, será definida mediante comunicado de Hecho Relevante, al menos 2 días hábiles antes de la fecha de colocación del primer tracto de cada serie.</w:t>
      </w:r>
    </w:p>
    <w:p w14:paraId="7A0E3153" w14:textId="77777777" w:rsidR="00A65F5F" w:rsidRDefault="00A65F5F" w:rsidP="00A65F5F">
      <w:pPr>
        <w:ind w:left="-540" w:right="-25"/>
        <w:rPr>
          <w:lang w:val="es-ES"/>
        </w:rPr>
      </w:pPr>
    </w:p>
    <w:p w14:paraId="0D873C4F" w14:textId="77777777" w:rsidR="00A65F5F" w:rsidRPr="00350325" w:rsidRDefault="00A65F5F" w:rsidP="00A65F5F">
      <w:pPr>
        <w:ind w:left="-540" w:right="-25"/>
        <w:rPr>
          <w:lang w:val="es-ES"/>
        </w:rPr>
      </w:pPr>
      <w:r>
        <w:rPr>
          <w:lang w:val="es-ES"/>
        </w:rPr>
        <w:t>Cuando se realice una redención anticipada, el emisor comunicará a más tardar el día hábil siguiente de la fecha de ejecución de la redención, el nombre de la emisión, la fecha de ejecución de la redención, el monto redimido y el saldo en circulación después de ejecutada la redención.</w:t>
      </w:r>
    </w:p>
    <w:p w14:paraId="18215F9E" w14:textId="77777777" w:rsidR="00A65F5F" w:rsidRPr="001E3F99" w:rsidRDefault="00A65F5F" w:rsidP="00A65F5F">
      <w:pPr>
        <w:pStyle w:val="Ttulo3"/>
        <w:numPr>
          <w:ilvl w:val="2"/>
          <w:numId w:val="1"/>
        </w:numPr>
        <w:ind w:left="142" w:hanging="709"/>
      </w:pPr>
      <w:bookmarkStart w:id="104" w:name="_Toc343675978"/>
      <w:bookmarkStart w:id="105" w:name="_Toc358619344"/>
      <w:bookmarkStart w:id="106" w:name="_Toc358620609"/>
      <w:bookmarkStart w:id="107" w:name="_Toc358621816"/>
      <w:bookmarkStart w:id="108" w:name="_Toc358622793"/>
      <w:bookmarkStart w:id="109" w:name="_Toc421264432"/>
      <w:bookmarkStart w:id="110" w:name="_Toc26357105"/>
      <w:bookmarkStart w:id="111" w:name="_Toc138664894"/>
      <w:r w:rsidRPr="001E3F99">
        <w:t>Características generales aplicables a las opciones de redención anticipadas.</w:t>
      </w:r>
      <w:bookmarkEnd w:id="104"/>
      <w:bookmarkEnd w:id="105"/>
      <w:bookmarkEnd w:id="106"/>
      <w:bookmarkEnd w:id="107"/>
      <w:bookmarkEnd w:id="108"/>
      <w:bookmarkEnd w:id="109"/>
      <w:bookmarkEnd w:id="110"/>
      <w:bookmarkEnd w:id="111"/>
    </w:p>
    <w:p w14:paraId="535DFDB9" w14:textId="77777777" w:rsidR="00A65F5F" w:rsidRPr="001E3F99" w:rsidRDefault="00A65F5F" w:rsidP="00A65F5F">
      <w:pPr>
        <w:ind w:left="-540" w:right="-25"/>
        <w:rPr>
          <w:lang w:val="es-ES"/>
        </w:rPr>
      </w:pPr>
    </w:p>
    <w:p w14:paraId="57DB8D6E" w14:textId="77777777" w:rsidR="00A65F5F" w:rsidRDefault="00A65F5F" w:rsidP="00A65F5F">
      <w:pPr>
        <w:ind w:left="-567" w:right="-25"/>
        <w:rPr>
          <w:lang w:val="es-ES"/>
        </w:rPr>
      </w:pPr>
      <w:r w:rsidRPr="001E3F99">
        <w:rPr>
          <w:lang w:val="es-ES"/>
        </w:rPr>
        <w:t>Toda opción de redención anticipada podrá efectuarse de manera parcial o total. La fecha de redención anticipada deberá coincidir con una fecha de pago de intereses. El emisor informará a los tenedores mediante hecho relevante su decisión de redención anticipada, con al menos 2 meses de anticipación a dicha fecha. Los tenedores de las series estandarizadas a redimir no podrán negarse a venderlas.</w:t>
      </w:r>
    </w:p>
    <w:p w14:paraId="1CCD8C08" w14:textId="77777777" w:rsidR="00A65F5F" w:rsidRDefault="00A65F5F" w:rsidP="00A65F5F">
      <w:pPr>
        <w:ind w:left="-567" w:right="-25"/>
        <w:rPr>
          <w:lang w:val="es-ES"/>
        </w:rPr>
      </w:pPr>
    </w:p>
    <w:p w14:paraId="1481C4EF" w14:textId="77777777" w:rsidR="00A65F5F" w:rsidRPr="001E3F99" w:rsidRDefault="00A65F5F" w:rsidP="00A65F5F">
      <w:pPr>
        <w:ind w:left="-567" w:right="-25"/>
        <w:rPr>
          <w:lang w:val="es-ES"/>
        </w:rPr>
      </w:pPr>
    </w:p>
    <w:p w14:paraId="516CB6E0" w14:textId="77777777" w:rsidR="00A65F5F" w:rsidRDefault="00A65F5F" w:rsidP="00A65F5F">
      <w:pPr>
        <w:ind w:left="-567" w:right="-25"/>
        <w:rPr>
          <w:lang w:val="es-ES"/>
        </w:rPr>
      </w:pPr>
      <w:r w:rsidRPr="001E3F99">
        <w:rPr>
          <w:lang w:val="es-ES"/>
        </w:rPr>
        <w:t>En caso de que la redención sea parcial, ésta se podrá realizar una o más veces a discreción del emisor, no existiendo límites mínimos o máximos sobre el monto a redimir con la única excepción de que en ningún caso podrá quedar como remanente un saldo de la serie en circulación menor o igual a cien millones de colones</w:t>
      </w:r>
      <w:r>
        <w:rPr>
          <w:lang w:val="es-ES"/>
        </w:rPr>
        <w:t>, o su equivalente en dólares al tipo de cambio del Banco Central,</w:t>
      </w:r>
      <w:r w:rsidRPr="001E3F99">
        <w:rPr>
          <w:lang w:val="es-ES"/>
        </w:rPr>
        <w:t xml:space="preserve"> o doscientos valores. El monto a redimir se distribuirá proporcionalmente entre todos los tenedores de las series a redimir en función del monto facial de su inversión. En este caso si la proporción a aplicar resulta en un número de valores con una fracción igual o mayor a 0.5 valores se redondeará al entero superior, caso contrario se redondeará al entero inferior. La cancelación de la redención parcial o total según sea, se hará por medio de</w:t>
      </w:r>
      <w:r>
        <w:rPr>
          <w:lang w:val="es-ES"/>
        </w:rPr>
        <w:t>l</w:t>
      </w:r>
      <w:r w:rsidRPr="001E3F99">
        <w:rPr>
          <w:lang w:val="es-ES"/>
        </w:rPr>
        <w:t xml:space="preserve"> </w:t>
      </w:r>
      <w:r>
        <w:rPr>
          <w:lang w:val="es-ES"/>
        </w:rPr>
        <w:t>Sistema de Anotación en Cuenta del Banco Central de Costa Rica</w:t>
      </w:r>
      <w:r w:rsidRPr="001E3F99">
        <w:rPr>
          <w:lang w:val="es-ES"/>
        </w:rPr>
        <w:t xml:space="preserve"> y acreditados los montos correspondientes a los inversionistas por medio de los puestos de bolsa y demás </w:t>
      </w:r>
      <w:r>
        <w:rPr>
          <w:lang w:val="es-ES"/>
        </w:rPr>
        <w:t>entidades de custodia</w:t>
      </w:r>
      <w:r w:rsidRPr="001E3F99">
        <w:rPr>
          <w:lang w:val="es-ES"/>
        </w:rPr>
        <w:t xml:space="preserve">. </w:t>
      </w:r>
    </w:p>
    <w:p w14:paraId="52B0961A" w14:textId="77777777" w:rsidR="00A65F5F" w:rsidRPr="001E3F99" w:rsidRDefault="00A65F5F" w:rsidP="00A65F5F">
      <w:pPr>
        <w:ind w:left="-567" w:right="-25"/>
        <w:rPr>
          <w:lang w:val="es-ES"/>
        </w:rPr>
      </w:pPr>
    </w:p>
    <w:p w14:paraId="5B7B3E68" w14:textId="77777777" w:rsidR="00A65F5F" w:rsidRDefault="00A65F5F" w:rsidP="00A65F5F">
      <w:pPr>
        <w:ind w:left="-567" w:right="-25"/>
        <w:rPr>
          <w:lang w:val="es-ES"/>
        </w:rPr>
      </w:pPr>
      <w:r w:rsidRPr="001E3F99">
        <w:rPr>
          <w:lang w:val="es-ES"/>
        </w:rPr>
        <w:t xml:space="preserve">Para efectos de la redención parcial, la fecha para </w:t>
      </w:r>
      <w:r w:rsidRPr="007437B6">
        <w:rPr>
          <w:lang w:val="es-ES"/>
        </w:rPr>
        <w:t xml:space="preserve">identificar a los inversionistas que se tomarán en consideración, serán aquellos que aparezcan registrados en </w:t>
      </w:r>
      <w:r>
        <w:rPr>
          <w:lang w:val="es-ES"/>
        </w:rPr>
        <w:t>el Sistema de Anotación en Cuenta del Banco Central de Costa Rica</w:t>
      </w:r>
      <w:r w:rsidRPr="001E3F99">
        <w:rPr>
          <w:lang w:val="es-ES"/>
        </w:rPr>
        <w:t xml:space="preserve"> </w:t>
      </w:r>
      <w:r>
        <w:rPr>
          <w:lang w:val="es-ES"/>
        </w:rPr>
        <w:t>el día de la fecha de redención</w:t>
      </w:r>
      <w:r w:rsidRPr="001E3F99">
        <w:rPr>
          <w:lang w:val="es-ES"/>
        </w:rPr>
        <w:t>.</w:t>
      </w:r>
    </w:p>
    <w:p w14:paraId="22160941" w14:textId="77777777" w:rsidR="00A65F5F" w:rsidRPr="007D6C19" w:rsidRDefault="00A65F5F" w:rsidP="00A65F5F">
      <w:pPr>
        <w:pStyle w:val="Ttulo3"/>
        <w:numPr>
          <w:ilvl w:val="2"/>
          <w:numId w:val="1"/>
        </w:numPr>
        <w:ind w:left="142" w:hanging="709"/>
      </w:pPr>
      <w:bookmarkStart w:id="112" w:name="_Toc257723627"/>
      <w:bookmarkStart w:id="113" w:name="_Toc304737152"/>
      <w:bookmarkStart w:id="114" w:name="_Toc343675979"/>
      <w:bookmarkStart w:id="115" w:name="_Toc358619345"/>
      <w:bookmarkStart w:id="116" w:name="_Toc358620610"/>
      <w:bookmarkStart w:id="117" w:name="_Toc358621817"/>
      <w:bookmarkStart w:id="118" w:name="_Toc358622794"/>
      <w:bookmarkStart w:id="119" w:name="_Toc421264433"/>
      <w:bookmarkStart w:id="120" w:name="_Toc26357106"/>
      <w:bookmarkStart w:id="121" w:name="_Toc138664895"/>
      <w:r>
        <w:t>Series colocadas pertenecientes al Programa A</w:t>
      </w:r>
      <w:bookmarkEnd w:id="112"/>
      <w:bookmarkEnd w:id="113"/>
      <w:bookmarkEnd w:id="114"/>
      <w:bookmarkEnd w:id="115"/>
      <w:bookmarkEnd w:id="116"/>
      <w:bookmarkEnd w:id="117"/>
      <w:bookmarkEnd w:id="118"/>
      <w:bookmarkEnd w:id="119"/>
      <w:bookmarkEnd w:id="120"/>
      <w:bookmarkEnd w:id="121"/>
    </w:p>
    <w:p w14:paraId="5BA56155" w14:textId="1689C520" w:rsidR="00A65F5F" w:rsidRDefault="00A65F5F" w:rsidP="00A65F5F">
      <w:pPr>
        <w:pStyle w:val="Ttulo4"/>
      </w:pPr>
      <w:r>
        <w:t>Emisión</w:t>
      </w:r>
      <w:r w:rsidR="00E97E85">
        <w:t xml:space="preserve"> </w:t>
      </w:r>
      <w:r>
        <w:t>serie A2</w:t>
      </w:r>
    </w:p>
    <w:p w14:paraId="7293F416" w14:textId="77777777" w:rsidR="00A65F5F" w:rsidRPr="0087514D" w:rsidRDefault="00A65F5F" w:rsidP="00A65F5F"/>
    <w:tbl>
      <w:tblPr>
        <w:tblpPr w:leftFromText="141" w:rightFromText="141" w:vertAnchor="text" w:horzAnchor="page" w:tblpX="3136" w:tblpY="-10"/>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3816"/>
      </w:tblGrid>
      <w:tr w:rsidR="00E97E85" w:rsidRPr="00E74673" w14:paraId="63B61A21" w14:textId="77777777" w:rsidTr="00E97E85">
        <w:tc>
          <w:tcPr>
            <w:tcW w:w="2904" w:type="dxa"/>
            <w:shd w:val="clear" w:color="auto" w:fill="244061"/>
          </w:tcPr>
          <w:p w14:paraId="1C06FC3E" w14:textId="77777777" w:rsidR="00E97E85" w:rsidRPr="00E74673" w:rsidRDefault="00E97E85" w:rsidP="00E97E85">
            <w:pPr>
              <w:rPr>
                <w:noProof/>
                <w:sz w:val="18"/>
                <w:szCs w:val="18"/>
                <w:lang w:val="en-US"/>
              </w:rPr>
            </w:pPr>
            <w:r w:rsidRPr="00E74673">
              <w:rPr>
                <w:noProof/>
                <w:sz w:val="18"/>
                <w:szCs w:val="18"/>
                <w:lang w:val="en-US"/>
              </w:rPr>
              <w:t>Clase de instrumento</w:t>
            </w:r>
          </w:p>
        </w:tc>
        <w:tc>
          <w:tcPr>
            <w:tcW w:w="3816" w:type="dxa"/>
            <w:shd w:val="clear" w:color="auto" w:fill="244061"/>
          </w:tcPr>
          <w:p w14:paraId="53078CEC" w14:textId="77777777" w:rsidR="00E97E85" w:rsidRPr="00E74673" w:rsidRDefault="00E97E85" w:rsidP="00E97E85">
            <w:pPr>
              <w:rPr>
                <w:noProof/>
                <w:sz w:val="18"/>
                <w:szCs w:val="18"/>
                <w:lang w:val="en-US"/>
              </w:rPr>
            </w:pPr>
            <w:r w:rsidRPr="00E74673">
              <w:rPr>
                <w:noProof/>
                <w:sz w:val="18"/>
                <w:szCs w:val="18"/>
                <w:lang w:val="en-US"/>
              </w:rPr>
              <w:t>Bonos Estandarizados</w:t>
            </w:r>
          </w:p>
        </w:tc>
      </w:tr>
      <w:tr w:rsidR="00E97E85" w:rsidRPr="00E74673" w14:paraId="25E81429" w14:textId="77777777" w:rsidTr="00E97E85">
        <w:tc>
          <w:tcPr>
            <w:tcW w:w="2904" w:type="dxa"/>
            <w:shd w:val="clear" w:color="auto" w:fill="244061"/>
          </w:tcPr>
          <w:p w14:paraId="5C1544CB" w14:textId="77777777" w:rsidR="00E97E85" w:rsidRPr="00E74673" w:rsidRDefault="00E97E85" w:rsidP="00E97E85">
            <w:pPr>
              <w:rPr>
                <w:noProof/>
                <w:sz w:val="18"/>
                <w:szCs w:val="18"/>
                <w:lang w:val="en-US"/>
              </w:rPr>
            </w:pPr>
            <w:r w:rsidRPr="00E74673">
              <w:rPr>
                <w:noProof/>
                <w:sz w:val="18"/>
                <w:szCs w:val="18"/>
                <w:lang w:val="en-US"/>
              </w:rPr>
              <w:t>Nombre de la serie</w:t>
            </w:r>
          </w:p>
        </w:tc>
        <w:tc>
          <w:tcPr>
            <w:tcW w:w="3816" w:type="dxa"/>
            <w:shd w:val="clear" w:color="auto" w:fill="244061"/>
          </w:tcPr>
          <w:p w14:paraId="36FD13A9" w14:textId="77777777" w:rsidR="00E97E85" w:rsidRPr="00E74673" w:rsidRDefault="00E97E85" w:rsidP="00E97E85">
            <w:pPr>
              <w:rPr>
                <w:sz w:val="18"/>
                <w:szCs w:val="18"/>
              </w:rPr>
            </w:pPr>
            <w:r w:rsidRPr="00E74673">
              <w:rPr>
                <w:sz w:val="18"/>
                <w:szCs w:val="18"/>
              </w:rPr>
              <w:t>A2</w:t>
            </w:r>
          </w:p>
        </w:tc>
      </w:tr>
      <w:tr w:rsidR="00E97E85" w:rsidRPr="00E74673" w14:paraId="5DAC3091" w14:textId="77777777" w:rsidTr="00E97E85">
        <w:tc>
          <w:tcPr>
            <w:tcW w:w="2904" w:type="dxa"/>
          </w:tcPr>
          <w:p w14:paraId="535A3399" w14:textId="77777777" w:rsidR="00E97E85" w:rsidRPr="00E74673" w:rsidRDefault="00E97E85" w:rsidP="00E97E85">
            <w:pPr>
              <w:rPr>
                <w:noProof/>
                <w:sz w:val="18"/>
                <w:szCs w:val="18"/>
                <w:lang w:val="en-US"/>
              </w:rPr>
            </w:pPr>
            <w:r w:rsidRPr="00E74673">
              <w:rPr>
                <w:noProof/>
                <w:sz w:val="18"/>
                <w:szCs w:val="18"/>
                <w:lang w:val="en-US"/>
              </w:rPr>
              <w:t>Código ISIN</w:t>
            </w:r>
          </w:p>
        </w:tc>
        <w:tc>
          <w:tcPr>
            <w:tcW w:w="3816" w:type="dxa"/>
          </w:tcPr>
          <w:p w14:paraId="467A5218" w14:textId="77777777" w:rsidR="00E97E85" w:rsidRPr="00E74673" w:rsidRDefault="00E97E85" w:rsidP="00E97E85">
            <w:pPr>
              <w:rPr>
                <w:sz w:val="18"/>
                <w:szCs w:val="18"/>
              </w:rPr>
            </w:pPr>
            <w:r w:rsidRPr="00E74673">
              <w:rPr>
                <w:sz w:val="18"/>
                <w:szCs w:val="18"/>
              </w:rPr>
              <w:t>CRICE00B0044</w:t>
            </w:r>
          </w:p>
        </w:tc>
      </w:tr>
      <w:tr w:rsidR="00E97E85" w:rsidRPr="00E74673" w14:paraId="480501F3" w14:textId="77777777" w:rsidTr="00E97E85">
        <w:tc>
          <w:tcPr>
            <w:tcW w:w="2904" w:type="dxa"/>
          </w:tcPr>
          <w:p w14:paraId="31D02050" w14:textId="77777777" w:rsidR="00E97E85" w:rsidRPr="00E74673" w:rsidRDefault="00E97E85" w:rsidP="00E97E85">
            <w:pPr>
              <w:rPr>
                <w:noProof/>
                <w:sz w:val="18"/>
                <w:szCs w:val="18"/>
                <w:lang w:val="en-US"/>
              </w:rPr>
            </w:pPr>
            <w:r w:rsidRPr="00E74673">
              <w:rPr>
                <w:noProof/>
                <w:sz w:val="18"/>
                <w:szCs w:val="18"/>
                <w:lang w:val="en-US"/>
              </w:rPr>
              <w:t>Nemotécnico</w:t>
            </w:r>
          </w:p>
        </w:tc>
        <w:tc>
          <w:tcPr>
            <w:tcW w:w="3816" w:type="dxa"/>
          </w:tcPr>
          <w:p w14:paraId="18747DA6" w14:textId="77777777" w:rsidR="00E97E85" w:rsidRPr="00E74673" w:rsidRDefault="00E97E85" w:rsidP="00E97E85">
            <w:pPr>
              <w:rPr>
                <w:sz w:val="18"/>
                <w:szCs w:val="18"/>
              </w:rPr>
            </w:pPr>
            <w:r w:rsidRPr="00E74673">
              <w:rPr>
                <w:sz w:val="18"/>
                <w:szCs w:val="18"/>
              </w:rPr>
              <w:t>Bic2</w:t>
            </w:r>
          </w:p>
        </w:tc>
      </w:tr>
      <w:tr w:rsidR="00E97E85" w:rsidRPr="00E74673" w14:paraId="74754971" w14:textId="77777777" w:rsidTr="00E97E85">
        <w:tc>
          <w:tcPr>
            <w:tcW w:w="2904" w:type="dxa"/>
          </w:tcPr>
          <w:p w14:paraId="0328AD69" w14:textId="77777777" w:rsidR="00E97E85" w:rsidRPr="00E74673" w:rsidRDefault="00E97E85" w:rsidP="00E97E85">
            <w:pPr>
              <w:rPr>
                <w:noProof/>
                <w:sz w:val="18"/>
                <w:szCs w:val="18"/>
              </w:rPr>
            </w:pPr>
            <w:r w:rsidRPr="00E74673">
              <w:rPr>
                <w:noProof/>
                <w:sz w:val="18"/>
                <w:szCs w:val="18"/>
              </w:rPr>
              <w:t>Monto de la emisión y moneda</w:t>
            </w:r>
          </w:p>
        </w:tc>
        <w:tc>
          <w:tcPr>
            <w:tcW w:w="3816" w:type="dxa"/>
          </w:tcPr>
          <w:p w14:paraId="4A91385C" w14:textId="77777777" w:rsidR="00E97E85" w:rsidRPr="00E74673" w:rsidRDefault="00E97E85" w:rsidP="00E97E85">
            <w:pPr>
              <w:rPr>
                <w:sz w:val="18"/>
                <w:szCs w:val="18"/>
                <w:lang w:val="es-ES"/>
              </w:rPr>
            </w:pPr>
            <w:r w:rsidRPr="00E74673">
              <w:rPr>
                <w:sz w:val="18"/>
                <w:szCs w:val="18"/>
                <w:lang w:val="es-ES"/>
              </w:rPr>
              <w:t xml:space="preserve">¢50.000.000.000 </w:t>
            </w:r>
          </w:p>
          <w:p w14:paraId="402C0980" w14:textId="77777777" w:rsidR="00E97E85" w:rsidRPr="00E74673" w:rsidRDefault="00E97E85" w:rsidP="00E97E85">
            <w:pPr>
              <w:rPr>
                <w:sz w:val="18"/>
                <w:szCs w:val="18"/>
                <w:lang w:val="es-ES"/>
              </w:rPr>
            </w:pPr>
            <w:r w:rsidRPr="00E74673">
              <w:rPr>
                <w:sz w:val="18"/>
                <w:szCs w:val="18"/>
                <w:lang w:val="es-ES"/>
              </w:rPr>
              <w:t>(cincuenta mil millones de colones)</w:t>
            </w:r>
          </w:p>
        </w:tc>
      </w:tr>
      <w:tr w:rsidR="00E97E85" w:rsidRPr="00E74673" w14:paraId="681E2B7F" w14:textId="77777777" w:rsidTr="00E97E85">
        <w:tc>
          <w:tcPr>
            <w:tcW w:w="2904" w:type="dxa"/>
          </w:tcPr>
          <w:p w14:paraId="528F5B00" w14:textId="77777777" w:rsidR="00E97E85" w:rsidRPr="00E74673" w:rsidRDefault="00E97E85" w:rsidP="00E97E85">
            <w:pPr>
              <w:rPr>
                <w:noProof/>
                <w:sz w:val="18"/>
                <w:szCs w:val="18"/>
                <w:lang w:val="en-US"/>
              </w:rPr>
            </w:pPr>
            <w:r w:rsidRPr="00E74673">
              <w:rPr>
                <w:noProof/>
                <w:sz w:val="18"/>
                <w:szCs w:val="18"/>
                <w:lang w:val="en-US"/>
              </w:rPr>
              <w:t>Plazo</w:t>
            </w:r>
          </w:p>
        </w:tc>
        <w:tc>
          <w:tcPr>
            <w:tcW w:w="3816" w:type="dxa"/>
          </w:tcPr>
          <w:p w14:paraId="60A2FF04" w14:textId="77777777" w:rsidR="00E97E85" w:rsidRPr="00E74673" w:rsidRDefault="00E97E85" w:rsidP="00E97E85">
            <w:pPr>
              <w:rPr>
                <w:noProof/>
                <w:sz w:val="18"/>
                <w:szCs w:val="18"/>
                <w:lang w:val="en-US"/>
              </w:rPr>
            </w:pPr>
            <w:r w:rsidRPr="00E74673">
              <w:rPr>
                <w:noProof/>
                <w:sz w:val="18"/>
                <w:szCs w:val="18"/>
                <w:lang w:val="en-US"/>
              </w:rPr>
              <w:t>15 años</w:t>
            </w:r>
          </w:p>
        </w:tc>
      </w:tr>
      <w:tr w:rsidR="00E97E85" w:rsidRPr="00E74673" w14:paraId="695BEC72" w14:textId="77777777" w:rsidTr="00E97E85">
        <w:trPr>
          <w:trHeight w:val="63"/>
        </w:trPr>
        <w:tc>
          <w:tcPr>
            <w:tcW w:w="2904" w:type="dxa"/>
          </w:tcPr>
          <w:p w14:paraId="68778851" w14:textId="77777777" w:rsidR="00E97E85" w:rsidRPr="00E74673" w:rsidRDefault="00E97E85" w:rsidP="00E97E85">
            <w:pPr>
              <w:rPr>
                <w:noProof/>
                <w:sz w:val="18"/>
                <w:szCs w:val="18"/>
                <w:lang w:val="en-US"/>
              </w:rPr>
            </w:pPr>
            <w:r w:rsidRPr="00E74673">
              <w:rPr>
                <w:noProof/>
                <w:sz w:val="18"/>
                <w:szCs w:val="18"/>
                <w:lang w:val="en-US"/>
              </w:rPr>
              <w:t>Fecha de emisión</w:t>
            </w:r>
          </w:p>
        </w:tc>
        <w:tc>
          <w:tcPr>
            <w:tcW w:w="3816" w:type="dxa"/>
          </w:tcPr>
          <w:p w14:paraId="4CB57BD1" w14:textId="77777777" w:rsidR="00E97E85" w:rsidRPr="00E74673" w:rsidRDefault="00E97E85" w:rsidP="00E97E85">
            <w:pPr>
              <w:rPr>
                <w:noProof/>
                <w:sz w:val="18"/>
                <w:szCs w:val="18"/>
                <w:lang w:val="en-US"/>
              </w:rPr>
            </w:pPr>
            <w:r w:rsidRPr="00E74673">
              <w:rPr>
                <w:noProof/>
                <w:sz w:val="18"/>
                <w:szCs w:val="18"/>
                <w:lang w:val="en-US"/>
              </w:rPr>
              <w:t>6 de noviembre del 2009</w:t>
            </w:r>
          </w:p>
        </w:tc>
      </w:tr>
      <w:tr w:rsidR="00E97E85" w:rsidRPr="00E74673" w14:paraId="31C79148" w14:textId="77777777" w:rsidTr="00E97E85">
        <w:tc>
          <w:tcPr>
            <w:tcW w:w="2904" w:type="dxa"/>
          </w:tcPr>
          <w:p w14:paraId="068AC45C" w14:textId="77777777" w:rsidR="00E97E85" w:rsidRPr="00E74673" w:rsidRDefault="00E97E85" w:rsidP="00E97E85">
            <w:pPr>
              <w:rPr>
                <w:noProof/>
                <w:sz w:val="18"/>
                <w:szCs w:val="18"/>
                <w:lang w:val="en-US"/>
              </w:rPr>
            </w:pPr>
            <w:r w:rsidRPr="00E74673">
              <w:rPr>
                <w:noProof/>
                <w:sz w:val="18"/>
                <w:szCs w:val="18"/>
                <w:lang w:val="en-US"/>
              </w:rPr>
              <w:t>Fecha de vencimiento</w:t>
            </w:r>
          </w:p>
        </w:tc>
        <w:tc>
          <w:tcPr>
            <w:tcW w:w="3816" w:type="dxa"/>
          </w:tcPr>
          <w:p w14:paraId="149BA2F7" w14:textId="77777777" w:rsidR="00E97E85" w:rsidRPr="00E74673" w:rsidRDefault="00E97E85" w:rsidP="00E97E85">
            <w:pPr>
              <w:rPr>
                <w:noProof/>
                <w:sz w:val="18"/>
                <w:szCs w:val="18"/>
                <w:lang w:val="en-US"/>
              </w:rPr>
            </w:pPr>
            <w:r w:rsidRPr="00E74673">
              <w:rPr>
                <w:noProof/>
                <w:sz w:val="18"/>
                <w:szCs w:val="18"/>
                <w:lang w:val="en-US"/>
              </w:rPr>
              <w:t>6 de noviembre del 2024</w:t>
            </w:r>
          </w:p>
        </w:tc>
      </w:tr>
      <w:tr w:rsidR="00E97E85" w:rsidRPr="00E74673" w14:paraId="667FC9D6" w14:textId="77777777" w:rsidTr="00E97E85">
        <w:tc>
          <w:tcPr>
            <w:tcW w:w="2904" w:type="dxa"/>
          </w:tcPr>
          <w:p w14:paraId="501D4FCC" w14:textId="77777777" w:rsidR="00E97E85" w:rsidRPr="00E74673" w:rsidRDefault="00E97E85" w:rsidP="00E97E85">
            <w:pPr>
              <w:rPr>
                <w:noProof/>
                <w:sz w:val="18"/>
                <w:szCs w:val="18"/>
                <w:lang w:val="en-US"/>
              </w:rPr>
            </w:pPr>
            <w:r w:rsidRPr="00E74673">
              <w:rPr>
                <w:noProof/>
                <w:sz w:val="18"/>
                <w:szCs w:val="18"/>
                <w:lang w:val="en-US"/>
              </w:rPr>
              <w:t>Tasa de interés bruta (1)</w:t>
            </w:r>
          </w:p>
        </w:tc>
        <w:tc>
          <w:tcPr>
            <w:tcW w:w="3816" w:type="dxa"/>
          </w:tcPr>
          <w:p w14:paraId="0F8B1A62" w14:textId="77777777" w:rsidR="00E97E85" w:rsidRPr="00E74673" w:rsidRDefault="00E97E85" w:rsidP="00E97E85">
            <w:pPr>
              <w:rPr>
                <w:noProof/>
                <w:sz w:val="18"/>
                <w:szCs w:val="18"/>
                <w:lang w:val="en-US"/>
              </w:rPr>
            </w:pPr>
            <w:r w:rsidRPr="00E74673">
              <w:rPr>
                <w:noProof/>
                <w:sz w:val="18"/>
                <w:szCs w:val="18"/>
                <w:lang w:val="en-US"/>
              </w:rPr>
              <w:t>Tasa Básica + 1,75%</w:t>
            </w:r>
          </w:p>
        </w:tc>
      </w:tr>
      <w:tr w:rsidR="00E97E85" w:rsidRPr="00E74673" w14:paraId="55E90693" w14:textId="77777777" w:rsidTr="00E97E85">
        <w:tc>
          <w:tcPr>
            <w:tcW w:w="2904" w:type="dxa"/>
          </w:tcPr>
          <w:p w14:paraId="4F6F0556" w14:textId="77777777" w:rsidR="00E97E85" w:rsidRPr="00E74673" w:rsidRDefault="00E97E85" w:rsidP="00E97E85">
            <w:pPr>
              <w:rPr>
                <w:noProof/>
                <w:sz w:val="18"/>
                <w:szCs w:val="18"/>
                <w:lang w:val="en-US"/>
              </w:rPr>
            </w:pPr>
            <w:r w:rsidRPr="00E74673">
              <w:rPr>
                <w:noProof/>
                <w:sz w:val="18"/>
                <w:szCs w:val="18"/>
                <w:lang w:val="en-US"/>
              </w:rPr>
              <w:t>Tasa de interés neta (1)</w:t>
            </w:r>
          </w:p>
        </w:tc>
        <w:tc>
          <w:tcPr>
            <w:tcW w:w="3816" w:type="dxa"/>
          </w:tcPr>
          <w:p w14:paraId="712C91FA" w14:textId="77777777" w:rsidR="00E97E85" w:rsidRPr="00E74673" w:rsidRDefault="00E97E85" w:rsidP="00E97E85">
            <w:pPr>
              <w:rPr>
                <w:noProof/>
                <w:sz w:val="18"/>
                <w:szCs w:val="18"/>
              </w:rPr>
            </w:pPr>
            <w:r w:rsidRPr="00E74673">
              <w:rPr>
                <w:noProof/>
                <w:sz w:val="18"/>
                <w:szCs w:val="18"/>
              </w:rPr>
              <w:t>Tasa de interés bruta menos el  impuesto renta</w:t>
            </w:r>
          </w:p>
        </w:tc>
      </w:tr>
      <w:tr w:rsidR="00E97E85" w:rsidRPr="00E74673" w14:paraId="6D3753CF" w14:textId="77777777" w:rsidTr="00E97E85">
        <w:tc>
          <w:tcPr>
            <w:tcW w:w="2904" w:type="dxa"/>
          </w:tcPr>
          <w:p w14:paraId="67AE1ED3" w14:textId="77777777" w:rsidR="00E97E85" w:rsidRPr="00E74673" w:rsidRDefault="00E97E85" w:rsidP="00E97E85">
            <w:pPr>
              <w:rPr>
                <w:noProof/>
                <w:sz w:val="18"/>
                <w:szCs w:val="18"/>
                <w:lang w:val="en-US"/>
              </w:rPr>
            </w:pPr>
            <w:r w:rsidRPr="00E74673">
              <w:rPr>
                <w:noProof/>
                <w:sz w:val="18"/>
                <w:szCs w:val="18"/>
                <w:lang w:val="en-US"/>
              </w:rPr>
              <w:t>Amortización del principal</w:t>
            </w:r>
          </w:p>
        </w:tc>
        <w:tc>
          <w:tcPr>
            <w:tcW w:w="3816" w:type="dxa"/>
          </w:tcPr>
          <w:p w14:paraId="1DE1744C" w14:textId="77777777" w:rsidR="00E97E85" w:rsidRPr="00E74673" w:rsidRDefault="00E97E85" w:rsidP="00E97E85">
            <w:pPr>
              <w:rPr>
                <w:noProof/>
                <w:sz w:val="18"/>
                <w:szCs w:val="18"/>
              </w:rPr>
            </w:pPr>
            <w:r w:rsidRPr="00E74673">
              <w:rPr>
                <w:noProof/>
                <w:sz w:val="18"/>
                <w:szCs w:val="18"/>
              </w:rPr>
              <w:t>Al vencimiento</w:t>
            </w:r>
          </w:p>
        </w:tc>
      </w:tr>
    </w:tbl>
    <w:p w14:paraId="442B731B" w14:textId="77777777" w:rsidR="00A65F5F" w:rsidRDefault="00A65F5F" w:rsidP="00A65F5F"/>
    <w:p w14:paraId="51EB9E56" w14:textId="77777777" w:rsidR="00A65F5F" w:rsidRPr="009B0EA2" w:rsidRDefault="00A65F5F" w:rsidP="00A65F5F"/>
    <w:p w14:paraId="64D9223B" w14:textId="77777777" w:rsidR="00A65F5F" w:rsidRDefault="00A65F5F" w:rsidP="00A65F5F">
      <w:pPr>
        <w:ind w:right="-25"/>
        <w:rPr>
          <w:lang w:val="es-ES"/>
        </w:rPr>
      </w:pPr>
    </w:p>
    <w:p w14:paraId="790328A4" w14:textId="77777777" w:rsidR="00A65F5F" w:rsidRDefault="00A65F5F" w:rsidP="00A65F5F">
      <w:pPr>
        <w:ind w:right="-25"/>
        <w:rPr>
          <w:lang w:val="es-ES"/>
        </w:rPr>
      </w:pPr>
    </w:p>
    <w:p w14:paraId="093B1B69" w14:textId="77777777" w:rsidR="00A65F5F" w:rsidRDefault="00A65F5F" w:rsidP="00A65F5F">
      <w:pPr>
        <w:ind w:right="-25"/>
        <w:rPr>
          <w:lang w:val="es-ES"/>
        </w:rPr>
      </w:pPr>
    </w:p>
    <w:p w14:paraId="3B973A20" w14:textId="77777777" w:rsidR="00A65F5F" w:rsidRDefault="00A65F5F" w:rsidP="00A65F5F">
      <w:pPr>
        <w:ind w:right="-25"/>
        <w:rPr>
          <w:lang w:val="es-ES"/>
        </w:rPr>
      </w:pPr>
    </w:p>
    <w:p w14:paraId="339DB332" w14:textId="77777777" w:rsidR="00A65F5F" w:rsidRDefault="00A65F5F" w:rsidP="00A65F5F">
      <w:pPr>
        <w:ind w:right="-25"/>
        <w:rPr>
          <w:lang w:val="es-ES"/>
        </w:rPr>
      </w:pPr>
    </w:p>
    <w:p w14:paraId="43F04946" w14:textId="77777777" w:rsidR="00A65F5F" w:rsidRDefault="00A65F5F" w:rsidP="00A65F5F">
      <w:pPr>
        <w:ind w:right="-25"/>
        <w:rPr>
          <w:lang w:val="es-ES"/>
        </w:rPr>
      </w:pPr>
    </w:p>
    <w:p w14:paraId="7437E089" w14:textId="77777777" w:rsidR="00A65F5F" w:rsidRDefault="00A65F5F" w:rsidP="00A65F5F">
      <w:pPr>
        <w:ind w:right="-25"/>
        <w:rPr>
          <w:lang w:val="es-ES"/>
        </w:rPr>
      </w:pPr>
    </w:p>
    <w:p w14:paraId="70C6BA9B" w14:textId="77777777" w:rsidR="00E97E85" w:rsidRDefault="00E97E85" w:rsidP="00A65F5F">
      <w:pPr>
        <w:ind w:right="-25"/>
        <w:rPr>
          <w:lang w:val="es-ES"/>
        </w:rPr>
      </w:pPr>
    </w:p>
    <w:p w14:paraId="2DFC0699" w14:textId="77777777" w:rsidR="00E97E85" w:rsidRDefault="00E97E85" w:rsidP="00A65F5F">
      <w:pPr>
        <w:ind w:right="-25"/>
        <w:rPr>
          <w:lang w:val="es-ES"/>
        </w:rPr>
      </w:pPr>
    </w:p>
    <w:p w14:paraId="32ACDE53" w14:textId="77777777" w:rsidR="00E97E85" w:rsidRDefault="00E97E85" w:rsidP="00A65F5F">
      <w:pPr>
        <w:ind w:right="-25"/>
        <w:rPr>
          <w:lang w:val="es-ES"/>
        </w:rPr>
      </w:pPr>
    </w:p>
    <w:p w14:paraId="1EADED5E" w14:textId="67CCB0F0" w:rsidR="00A65F5F" w:rsidRDefault="00A65F5F" w:rsidP="00A65F5F">
      <w:pPr>
        <w:ind w:right="-25"/>
        <w:rPr>
          <w:lang w:val="es-ES"/>
        </w:rPr>
      </w:pPr>
      <w:r w:rsidRPr="00CA3BE4">
        <w:rPr>
          <w:lang w:val="es-ES"/>
        </w:rPr>
        <w:t>E</w:t>
      </w:r>
      <w:r>
        <w:rPr>
          <w:lang w:val="es-ES"/>
        </w:rPr>
        <w:t>sta serie fue inscrita con fecha</w:t>
      </w:r>
      <w:r w:rsidRPr="00CA3BE4">
        <w:rPr>
          <w:lang w:val="es-ES"/>
        </w:rPr>
        <w:t xml:space="preserve"> </w:t>
      </w:r>
      <w:r>
        <w:rPr>
          <w:lang w:val="es-ES"/>
        </w:rPr>
        <w:t>29</w:t>
      </w:r>
      <w:r w:rsidRPr="00CA3BE4">
        <w:rPr>
          <w:lang w:val="es-ES"/>
        </w:rPr>
        <w:t xml:space="preserve"> de </w:t>
      </w:r>
      <w:r>
        <w:rPr>
          <w:lang w:val="es-ES"/>
        </w:rPr>
        <w:t>octubre</w:t>
      </w:r>
      <w:r w:rsidRPr="00CA3BE4">
        <w:rPr>
          <w:lang w:val="es-ES"/>
        </w:rPr>
        <w:t xml:space="preserve"> del 200</w:t>
      </w:r>
      <w:r>
        <w:rPr>
          <w:lang w:val="es-ES"/>
        </w:rPr>
        <w:t>9</w:t>
      </w:r>
      <w:r w:rsidRPr="00CA3BE4">
        <w:rPr>
          <w:lang w:val="es-ES"/>
        </w:rPr>
        <w:t xml:space="preserve"> </w:t>
      </w:r>
      <w:r>
        <w:rPr>
          <w:lang w:val="es-ES"/>
        </w:rPr>
        <w:t xml:space="preserve">y </w:t>
      </w:r>
      <w:r w:rsidRPr="00CA3BE4">
        <w:rPr>
          <w:lang w:val="es-ES"/>
        </w:rPr>
        <w:t>tiene las siguientes características:</w:t>
      </w:r>
    </w:p>
    <w:p w14:paraId="117803E5" w14:textId="77777777" w:rsidR="00A65F5F" w:rsidRDefault="00A65F5F" w:rsidP="00A65F5F">
      <w:pPr>
        <w:ind w:right="-25"/>
        <w:rPr>
          <w:lang w:val="es-ES"/>
        </w:rPr>
      </w:pPr>
    </w:p>
    <w:p w14:paraId="443A2C60" w14:textId="77777777" w:rsidR="00A65F5F" w:rsidRDefault="00A65F5F" w:rsidP="00A65F5F">
      <w:pPr>
        <w:ind w:right="-25"/>
        <w:rPr>
          <w:lang w:val="es-ES"/>
        </w:rPr>
      </w:pPr>
      <w:r>
        <w:rPr>
          <w:lang w:val="es-ES"/>
        </w:rPr>
        <w:t>L</w:t>
      </w:r>
      <w:r w:rsidRPr="001C4E04">
        <w:rPr>
          <w:lang w:val="es-ES"/>
        </w:rPr>
        <w:t xml:space="preserve">a serie </w:t>
      </w:r>
      <w:r>
        <w:rPr>
          <w:lang w:val="es-ES"/>
        </w:rPr>
        <w:t>A2 fue colocada en su totalidad mediante subasta por bolsa en nueve tractos, el primero por ¢</w:t>
      </w:r>
      <w:r w:rsidR="009168E0">
        <w:rPr>
          <w:lang w:val="es-ES"/>
        </w:rPr>
        <w:t>6</w:t>
      </w:r>
      <w:r>
        <w:rPr>
          <w:lang w:val="es-ES"/>
        </w:rPr>
        <w:t>.</w:t>
      </w:r>
      <w:r w:rsidR="009168E0">
        <w:rPr>
          <w:lang w:val="es-ES"/>
        </w:rPr>
        <w:t>328</w:t>
      </w:r>
      <w:r>
        <w:rPr>
          <w:lang w:val="es-ES"/>
        </w:rPr>
        <w:t xml:space="preserve"> millones</w:t>
      </w:r>
      <w:r w:rsidRPr="001C4E04">
        <w:rPr>
          <w:lang w:val="es-ES"/>
        </w:rPr>
        <w:t xml:space="preserve"> </w:t>
      </w:r>
      <w:r>
        <w:rPr>
          <w:lang w:val="es-ES"/>
        </w:rPr>
        <w:t>del día 6 de noviembre del 2009, el segundo por ¢6.485 millones el 5 de abril de 2010,  el tercero por ¢466 millones el 11 de mayo del 2010, el cuarto por ¢7.630 millones el 24 de agosto de 2010, el quinto por ¢6.500 millones el 27 de setiembre de 2010, el sexto por ¢5.280 millones el 05 de octubre de 2010, el sétimo por ¢2,065 millones el 17 de diciembre de 2010, el octavo por ¢7,950 millones el 04 de mayo de 2011, el noveno por ¢7,296 el 12 de mayo de 2011.</w:t>
      </w:r>
    </w:p>
    <w:p w14:paraId="06C543F5" w14:textId="77777777" w:rsidR="00A65F5F" w:rsidRDefault="00A65F5F" w:rsidP="00A65F5F">
      <w:pPr>
        <w:ind w:right="-25"/>
        <w:rPr>
          <w:lang w:val="es-ES"/>
        </w:rPr>
      </w:pPr>
    </w:p>
    <w:p w14:paraId="4F9E235A" w14:textId="77777777" w:rsidR="00A65F5F" w:rsidRPr="00435379" w:rsidRDefault="00A65F5F" w:rsidP="00A65F5F">
      <w:pPr>
        <w:pStyle w:val="Ttulo4"/>
        <w:rPr>
          <w:lang w:val="es-ES"/>
        </w:rPr>
      </w:pPr>
      <w:r w:rsidRPr="00807009">
        <w:rPr>
          <w:lang w:val="es-ES"/>
        </w:rPr>
        <w:t>Emisión serie A5</w:t>
      </w:r>
    </w:p>
    <w:p w14:paraId="00BF1A93" w14:textId="77777777" w:rsidR="00A65F5F" w:rsidRDefault="00A65F5F" w:rsidP="00A65F5F">
      <w:pPr>
        <w:ind w:right="-25"/>
        <w:rPr>
          <w:lang w:val="es-ES"/>
        </w:rPr>
      </w:pPr>
      <w:r>
        <w:rPr>
          <w:lang w:val="es-ES"/>
        </w:rPr>
        <w:t>Esta serie fue inscrita con fecha 14 de diciembre de 2010 y tiene las siguientes características:</w:t>
      </w:r>
    </w:p>
    <w:p w14:paraId="46CDED59" w14:textId="77777777" w:rsidR="00944633" w:rsidRDefault="00944633" w:rsidP="00A65F5F">
      <w:pPr>
        <w:ind w:right="-25"/>
        <w:rPr>
          <w:lang w:val="es-ES"/>
        </w:rPr>
      </w:pPr>
    </w:p>
    <w:p w14:paraId="49F1880F" w14:textId="77777777" w:rsidR="00944633" w:rsidRDefault="00944633" w:rsidP="00A65F5F">
      <w:pPr>
        <w:ind w:right="-25"/>
        <w:rPr>
          <w:lang w:val="es-ES"/>
        </w:rPr>
      </w:pPr>
    </w:p>
    <w:p w14:paraId="084403CE" w14:textId="77777777" w:rsidR="00944633" w:rsidRDefault="00944633" w:rsidP="00A65F5F">
      <w:pPr>
        <w:ind w:right="-25"/>
        <w:rPr>
          <w:lang w:val="es-ES"/>
        </w:rPr>
      </w:pPr>
    </w:p>
    <w:p w14:paraId="61EE56F7" w14:textId="77777777" w:rsidR="00944633" w:rsidRDefault="00944633" w:rsidP="00A65F5F">
      <w:pPr>
        <w:ind w:right="-25"/>
        <w:rPr>
          <w:lang w:val="es-ES"/>
        </w:rPr>
      </w:pPr>
    </w:p>
    <w:p w14:paraId="6A8D3517" w14:textId="77777777" w:rsidR="00944633" w:rsidRDefault="00944633" w:rsidP="00A65F5F">
      <w:pPr>
        <w:ind w:right="-25"/>
        <w:rPr>
          <w:lang w:val="es-ES"/>
        </w:rPr>
      </w:pPr>
    </w:p>
    <w:p w14:paraId="549CEB68" w14:textId="77777777" w:rsidR="00944633" w:rsidRDefault="00944633" w:rsidP="00A65F5F">
      <w:pPr>
        <w:ind w:right="-25"/>
        <w:rPr>
          <w:lang w:val="es-ES"/>
        </w:rPr>
      </w:pPr>
    </w:p>
    <w:p w14:paraId="3E6B3BF0" w14:textId="77777777" w:rsidR="00A65F5F" w:rsidRDefault="00A65F5F" w:rsidP="00A65F5F">
      <w:pPr>
        <w:ind w:right="-25"/>
        <w:rPr>
          <w:lang w:val="es-ES"/>
        </w:rPr>
      </w:pPr>
    </w:p>
    <w:tbl>
      <w:tblPr>
        <w:tblW w:w="6662" w:type="dxa"/>
        <w:tblInd w:w="921" w:type="dxa"/>
        <w:tblCellMar>
          <w:left w:w="70" w:type="dxa"/>
          <w:right w:w="70" w:type="dxa"/>
        </w:tblCellMar>
        <w:tblLook w:val="04A0" w:firstRow="1" w:lastRow="0" w:firstColumn="1" w:lastColumn="0" w:noHBand="0" w:noVBand="1"/>
      </w:tblPr>
      <w:tblGrid>
        <w:gridCol w:w="2523"/>
        <w:gridCol w:w="4139"/>
      </w:tblGrid>
      <w:tr w:rsidR="00A65F5F" w:rsidRPr="00E0042A" w14:paraId="6B6AA8F6" w14:textId="77777777" w:rsidTr="00E92822">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17375D"/>
            <w:vAlign w:val="bottom"/>
            <w:hideMark/>
          </w:tcPr>
          <w:p w14:paraId="32E74B6B" w14:textId="77777777" w:rsidR="00A65F5F" w:rsidRPr="00AF49F9" w:rsidRDefault="00A65F5F" w:rsidP="00E92822">
            <w:pPr>
              <w:rPr>
                <w:bCs/>
                <w:color w:val="FFFFFF"/>
                <w:sz w:val="18"/>
                <w:szCs w:val="18"/>
                <w:lang w:val="es-CR" w:eastAsia="es-CR"/>
              </w:rPr>
            </w:pPr>
            <w:r w:rsidRPr="00AF49F9">
              <w:rPr>
                <w:bCs/>
                <w:color w:val="FFFFFF"/>
                <w:sz w:val="18"/>
                <w:szCs w:val="18"/>
                <w:lang w:val="es-CR" w:eastAsia="es-CR"/>
              </w:rPr>
              <w:t>Clase de instrumento</w:t>
            </w:r>
          </w:p>
        </w:tc>
        <w:tc>
          <w:tcPr>
            <w:tcW w:w="4139" w:type="dxa"/>
            <w:tcBorders>
              <w:top w:val="single" w:sz="4" w:space="0" w:color="auto"/>
              <w:left w:val="nil"/>
              <w:bottom w:val="single" w:sz="4" w:space="0" w:color="auto"/>
              <w:right w:val="single" w:sz="4" w:space="0" w:color="auto"/>
            </w:tcBorders>
            <w:shd w:val="clear" w:color="000000" w:fill="17375D"/>
            <w:vAlign w:val="bottom"/>
            <w:hideMark/>
          </w:tcPr>
          <w:p w14:paraId="6E451605" w14:textId="77777777" w:rsidR="00A65F5F" w:rsidRPr="00AF49F9" w:rsidRDefault="00A65F5F" w:rsidP="00E92822">
            <w:pPr>
              <w:rPr>
                <w:bCs/>
                <w:color w:val="FFFFFF"/>
                <w:sz w:val="18"/>
                <w:szCs w:val="18"/>
                <w:lang w:val="es-CR" w:eastAsia="es-CR"/>
              </w:rPr>
            </w:pPr>
            <w:r w:rsidRPr="00AF49F9">
              <w:rPr>
                <w:bCs/>
                <w:color w:val="FFFFFF"/>
                <w:sz w:val="18"/>
                <w:szCs w:val="18"/>
                <w:lang w:val="es-CR" w:eastAsia="es-CR"/>
              </w:rPr>
              <w:t>Bonos Estandarizados</w:t>
            </w:r>
          </w:p>
        </w:tc>
      </w:tr>
      <w:tr w:rsidR="00A65F5F" w:rsidRPr="00E0042A" w14:paraId="6BA18472" w14:textId="77777777" w:rsidTr="00E92822">
        <w:trPr>
          <w:trHeight w:val="300"/>
        </w:trPr>
        <w:tc>
          <w:tcPr>
            <w:tcW w:w="2523" w:type="dxa"/>
            <w:tcBorders>
              <w:top w:val="nil"/>
              <w:left w:val="single" w:sz="4" w:space="0" w:color="auto"/>
              <w:bottom w:val="single" w:sz="4" w:space="0" w:color="auto"/>
              <w:right w:val="single" w:sz="4" w:space="0" w:color="auto"/>
            </w:tcBorders>
            <w:shd w:val="clear" w:color="000000" w:fill="17375D"/>
            <w:vAlign w:val="bottom"/>
            <w:hideMark/>
          </w:tcPr>
          <w:p w14:paraId="75E0DBFA" w14:textId="77777777" w:rsidR="00A65F5F" w:rsidRPr="00AF49F9" w:rsidRDefault="00A65F5F" w:rsidP="00E92822">
            <w:pPr>
              <w:rPr>
                <w:bCs/>
                <w:color w:val="FFFFFF"/>
                <w:sz w:val="18"/>
                <w:szCs w:val="18"/>
                <w:lang w:val="es-CR" w:eastAsia="es-CR"/>
              </w:rPr>
            </w:pPr>
            <w:r w:rsidRPr="00AF49F9">
              <w:rPr>
                <w:bCs/>
                <w:color w:val="FFFFFF"/>
                <w:sz w:val="18"/>
                <w:szCs w:val="18"/>
                <w:lang w:val="es-CR" w:eastAsia="es-CR"/>
              </w:rPr>
              <w:t>Nombre de la serie</w:t>
            </w:r>
          </w:p>
        </w:tc>
        <w:tc>
          <w:tcPr>
            <w:tcW w:w="4139" w:type="dxa"/>
            <w:tcBorders>
              <w:top w:val="nil"/>
              <w:left w:val="nil"/>
              <w:bottom w:val="single" w:sz="4" w:space="0" w:color="auto"/>
              <w:right w:val="single" w:sz="4" w:space="0" w:color="auto"/>
            </w:tcBorders>
            <w:shd w:val="clear" w:color="000000" w:fill="17375D"/>
            <w:vAlign w:val="bottom"/>
            <w:hideMark/>
          </w:tcPr>
          <w:p w14:paraId="4E63F457" w14:textId="77777777" w:rsidR="00A65F5F" w:rsidRPr="00AF49F9" w:rsidRDefault="00A65F5F" w:rsidP="00E92822">
            <w:pPr>
              <w:rPr>
                <w:bCs/>
                <w:color w:val="FFFFFF"/>
                <w:sz w:val="18"/>
                <w:szCs w:val="18"/>
                <w:lang w:val="es-CR" w:eastAsia="es-CR"/>
              </w:rPr>
            </w:pPr>
            <w:r w:rsidRPr="00AF49F9">
              <w:rPr>
                <w:bCs/>
                <w:color w:val="FFFFFF"/>
                <w:sz w:val="18"/>
                <w:szCs w:val="18"/>
                <w:lang w:val="es-CR" w:eastAsia="es-CR"/>
              </w:rPr>
              <w:t>A5</w:t>
            </w:r>
          </w:p>
        </w:tc>
      </w:tr>
      <w:tr w:rsidR="00A65F5F" w:rsidRPr="00E0042A" w14:paraId="19352876" w14:textId="77777777" w:rsidTr="00E92822">
        <w:trPr>
          <w:trHeight w:val="315"/>
        </w:trPr>
        <w:tc>
          <w:tcPr>
            <w:tcW w:w="2523" w:type="dxa"/>
            <w:tcBorders>
              <w:top w:val="nil"/>
              <w:left w:val="single" w:sz="4" w:space="0" w:color="auto"/>
              <w:bottom w:val="single" w:sz="4" w:space="0" w:color="auto"/>
              <w:right w:val="single" w:sz="4" w:space="0" w:color="auto"/>
            </w:tcBorders>
            <w:vAlign w:val="bottom"/>
            <w:hideMark/>
          </w:tcPr>
          <w:p w14:paraId="2E62F743"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Código ISIN</w:t>
            </w:r>
          </w:p>
        </w:tc>
        <w:tc>
          <w:tcPr>
            <w:tcW w:w="4139" w:type="dxa"/>
            <w:tcBorders>
              <w:top w:val="nil"/>
              <w:left w:val="nil"/>
              <w:bottom w:val="single" w:sz="4" w:space="0" w:color="auto"/>
              <w:right w:val="single" w:sz="4" w:space="0" w:color="auto"/>
            </w:tcBorders>
            <w:vAlign w:val="bottom"/>
            <w:hideMark/>
          </w:tcPr>
          <w:p w14:paraId="25B483E8"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CRICE00B0119</w:t>
            </w:r>
          </w:p>
        </w:tc>
      </w:tr>
      <w:tr w:rsidR="00A65F5F" w:rsidRPr="00E0042A" w14:paraId="74E38AEF" w14:textId="77777777" w:rsidTr="00E92822">
        <w:trPr>
          <w:trHeight w:val="315"/>
        </w:trPr>
        <w:tc>
          <w:tcPr>
            <w:tcW w:w="2523" w:type="dxa"/>
            <w:tcBorders>
              <w:top w:val="nil"/>
              <w:left w:val="single" w:sz="4" w:space="0" w:color="auto"/>
              <w:bottom w:val="single" w:sz="4" w:space="0" w:color="auto"/>
              <w:right w:val="single" w:sz="4" w:space="0" w:color="auto"/>
            </w:tcBorders>
            <w:vAlign w:val="bottom"/>
            <w:hideMark/>
          </w:tcPr>
          <w:p w14:paraId="275DEDCB"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Nemotécnico</w:t>
            </w:r>
          </w:p>
        </w:tc>
        <w:tc>
          <w:tcPr>
            <w:tcW w:w="4139" w:type="dxa"/>
            <w:tcBorders>
              <w:top w:val="nil"/>
              <w:left w:val="nil"/>
              <w:bottom w:val="single" w:sz="4" w:space="0" w:color="auto"/>
              <w:right w:val="single" w:sz="4" w:space="0" w:color="auto"/>
            </w:tcBorders>
            <w:vAlign w:val="bottom"/>
            <w:hideMark/>
          </w:tcPr>
          <w:p w14:paraId="59783DB1"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bic5</w:t>
            </w:r>
          </w:p>
        </w:tc>
      </w:tr>
      <w:tr w:rsidR="00A65F5F" w:rsidRPr="00E0042A" w14:paraId="699C4DE9" w14:textId="77777777" w:rsidTr="00E92822">
        <w:trPr>
          <w:trHeight w:val="406"/>
        </w:trPr>
        <w:tc>
          <w:tcPr>
            <w:tcW w:w="2523" w:type="dxa"/>
            <w:tcBorders>
              <w:top w:val="nil"/>
              <w:left w:val="single" w:sz="4" w:space="0" w:color="auto"/>
              <w:bottom w:val="single" w:sz="4" w:space="0" w:color="auto"/>
              <w:right w:val="single" w:sz="4" w:space="0" w:color="auto"/>
            </w:tcBorders>
            <w:vAlign w:val="bottom"/>
            <w:hideMark/>
          </w:tcPr>
          <w:p w14:paraId="5855F8A5"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Monto de la emisión y moneda</w:t>
            </w:r>
          </w:p>
        </w:tc>
        <w:tc>
          <w:tcPr>
            <w:tcW w:w="4139" w:type="dxa"/>
            <w:tcBorders>
              <w:top w:val="nil"/>
              <w:left w:val="nil"/>
              <w:bottom w:val="single" w:sz="4" w:space="0" w:color="auto"/>
              <w:right w:val="single" w:sz="4" w:space="0" w:color="auto"/>
            </w:tcBorders>
            <w:vAlign w:val="bottom"/>
            <w:hideMark/>
          </w:tcPr>
          <w:p w14:paraId="7530BBAA"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¢20.000.000.000 (veinte mil millones de colones)</w:t>
            </w:r>
          </w:p>
        </w:tc>
      </w:tr>
      <w:tr w:rsidR="00A65F5F" w:rsidRPr="00E0042A" w14:paraId="58ED32FC" w14:textId="77777777" w:rsidTr="00E92822">
        <w:trPr>
          <w:trHeight w:val="300"/>
        </w:trPr>
        <w:tc>
          <w:tcPr>
            <w:tcW w:w="2523" w:type="dxa"/>
            <w:tcBorders>
              <w:top w:val="nil"/>
              <w:left w:val="single" w:sz="4" w:space="0" w:color="auto"/>
              <w:bottom w:val="single" w:sz="4" w:space="0" w:color="auto"/>
              <w:right w:val="single" w:sz="4" w:space="0" w:color="auto"/>
            </w:tcBorders>
            <w:vAlign w:val="bottom"/>
            <w:hideMark/>
          </w:tcPr>
          <w:p w14:paraId="2C65C5E1"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Plazo</w:t>
            </w:r>
          </w:p>
        </w:tc>
        <w:tc>
          <w:tcPr>
            <w:tcW w:w="4139" w:type="dxa"/>
            <w:tcBorders>
              <w:top w:val="nil"/>
              <w:left w:val="nil"/>
              <w:bottom w:val="single" w:sz="4" w:space="0" w:color="auto"/>
              <w:right w:val="single" w:sz="4" w:space="0" w:color="auto"/>
            </w:tcBorders>
            <w:vAlign w:val="bottom"/>
            <w:hideMark/>
          </w:tcPr>
          <w:p w14:paraId="5765013C"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15 años</w:t>
            </w:r>
          </w:p>
        </w:tc>
      </w:tr>
      <w:tr w:rsidR="00A65F5F" w:rsidRPr="00E0042A" w14:paraId="21B8B653" w14:textId="77777777" w:rsidTr="00E92822">
        <w:trPr>
          <w:trHeight w:val="300"/>
        </w:trPr>
        <w:tc>
          <w:tcPr>
            <w:tcW w:w="2523" w:type="dxa"/>
            <w:tcBorders>
              <w:top w:val="nil"/>
              <w:left w:val="single" w:sz="4" w:space="0" w:color="auto"/>
              <w:bottom w:val="single" w:sz="4" w:space="0" w:color="auto"/>
              <w:right w:val="single" w:sz="4" w:space="0" w:color="auto"/>
            </w:tcBorders>
            <w:vAlign w:val="bottom"/>
            <w:hideMark/>
          </w:tcPr>
          <w:p w14:paraId="1EC9E5BC"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Fecha de emisión</w:t>
            </w:r>
          </w:p>
        </w:tc>
        <w:tc>
          <w:tcPr>
            <w:tcW w:w="4139" w:type="dxa"/>
            <w:tcBorders>
              <w:top w:val="nil"/>
              <w:left w:val="nil"/>
              <w:bottom w:val="single" w:sz="4" w:space="0" w:color="auto"/>
              <w:right w:val="single" w:sz="4" w:space="0" w:color="auto"/>
            </w:tcBorders>
            <w:noWrap/>
            <w:vAlign w:val="bottom"/>
            <w:hideMark/>
          </w:tcPr>
          <w:p w14:paraId="427F1E43"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16 de diciembre de 2010</w:t>
            </w:r>
          </w:p>
        </w:tc>
      </w:tr>
      <w:tr w:rsidR="00A65F5F" w:rsidRPr="00E0042A" w14:paraId="3EA818C4" w14:textId="77777777" w:rsidTr="00E92822">
        <w:trPr>
          <w:trHeight w:val="300"/>
        </w:trPr>
        <w:tc>
          <w:tcPr>
            <w:tcW w:w="2523" w:type="dxa"/>
            <w:tcBorders>
              <w:top w:val="nil"/>
              <w:left w:val="single" w:sz="4" w:space="0" w:color="auto"/>
              <w:bottom w:val="single" w:sz="4" w:space="0" w:color="auto"/>
              <w:right w:val="single" w:sz="4" w:space="0" w:color="auto"/>
            </w:tcBorders>
            <w:vAlign w:val="bottom"/>
            <w:hideMark/>
          </w:tcPr>
          <w:p w14:paraId="46375AA7"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Fecha de vencimiento</w:t>
            </w:r>
          </w:p>
        </w:tc>
        <w:tc>
          <w:tcPr>
            <w:tcW w:w="4139" w:type="dxa"/>
            <w:tcBorders>
              <w:top w:val="nil"/>
              <w:left w:val="nil"/>
              <w:bottom w:val="single" w:sz="4" w:space="0" w:color="auto"/>
              <w:right w:val="single" w:sz="4" w:space="0" w:color="auto"/>
            </w:tcBorders>
            <w:noWrap/>
            <w:vAlign w:val="bottom"/>
            <w:hideMark/>
          </w:tcPr>
          <w:p w14:paraId="549DA3F7"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16 de diciembre de 2025</w:t>
            </w:r>
          </w:p>
        </w:tc>
      </w:tr>
      <w:tr w:rsidR="00A65F5F" w:rsidRPr="00E0042A" w14:paraId="648F3DCE" w14:textId="77777777" w:rsidTr="00E92822">
        <w:trPr>
          <w:trHeight w:val="300"/>
        </w:trPr>
        <w:tc>
          <w:tcPr>
            <w:tcW w:w="2523" w:type="dxa"/>
            <w:tcBorders>
              <w:top w:val="nil"/>
              <w:left w:val="single" w:sz="4" w:space="0" w:color="auto"/>
              <w:bottom w:val="single" w:sz="4" w:space="0" w:color="auto"/>
              <w:right w:val="single" w:sz="4" w:space="0" w:color="auto"/>
            </w:tcBorders>
            <w:vAlign w:val="bottom"/>
            <w:hideMark/>
          </w:tcPr>
          <w:p w14:paraId="51CAEF78"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de interés bruta (1)</w:t>
            </w:r>
          </w:p>
        </w:tc>
        <w:tc>
          <w:tcPr>
            <w:tcW w:w="4139" w:type="dxa"/>
            <w:tcBorders>
              <w:top w:val="nil"/>
              <w:left w:val="nil"/>
              <w:bottom w:val="single" w:sz="4" w:space="0" w:color="auto"/>
              <w:right w:val="single" w:sz="4" w:space="0" w:color="auto"/>
            </w:tcBorders>
            <w:noWrap/>
            <w:vAlign w:val="bottom"/>
            <w:hideMark/>
          </w:tcPr>
          <w:p w14:paraId="7151A762"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TBP + 2,20%</w:t>
            </w:r>
          </w:p>
        </w:tc>
      </w:tr>
      <w:tr w:rsidR="00A65F5F" w:rsidRPr="00E0042A" w14:paraId="4F57B327" w14:textId="77777777" w:rsidTr="00E92822">
        <w:trPr>
          <w:trHeight w:val="525"/>
        </w:trPr>
        <w:tc>
          <w:tcPr>
            <w:tcW w:w="2523" w:type="dxa"/>
            <w:tcBorders>
              <w:top w:val="nil"/>
              <w:left w:val="single" w:sz="4" w:space="0" w:color="auto"/>
              <w:bottom w:val="single" w:sz="4" w:space="0" w:color="auto"/>
              <w:right w:val="single" w:sz="4" w:space="0" w:color="auto"/>
            </w:tcBorders>
            <w:vAlign w:val="bottom"/>
            <w:hideMark/>
          </w:tcPr>
          <w:p w14:paraId="6642F48E"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de interés neta (1)</w:t>
            </w:r>
          </w:p>
        </w:tc>
        <w:tc>
          <w:tcPr>
            <w:tcW w:w="4139" w:type="dxa"/>
            <w:tcBorders>
              <w:top w:val="nil"/>
              <w:left w:val="nil"/>
              <w:bottom w:val="single" w:sz="4" w:space="0" w:color="auto"/>
              <w:right w:val="single" w:sz="4" w:space="0" w:color="auto"/>
            </w:tcBorders>
            <w:vAlign w:val="bottom"/>
            <w:hideMark/>
          </w:tcPr>
          <w:p w14:paraId="31ACDAEE"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Bruta menos el  Impuesto sobre la Renta</w:t>
            </w:r>
          </w:p>
        </w:tc>
      </w:tr>
      <w:tr w:rsidR="00A65F5F" w:rsidRPr="00E0042A" w14:paraId="3C41CAAA" w14:textId="77777777" w:rsidTr="00E92822">
        <w:trPr>
          <w:trHeight w:val="300"/>
        </w:trPr>
        <w:tc>
          <w:tcPr>
            <w:tcW w:w="2523" w:type="dxa"/>
            <w:tcBorders>
              <w:top w:val="nil"/>
              <w:left w:val="single" w:sz="4" w:space="0" w:color="auto"/>
              <w:bottom w:val="single" w:sz="4" w:space="0" w:color="auto"/>
              <w:right w:val="single" w:sz="4" w:space="0" w:color="auto"/>
            </w:tcBorders>
            <w:vAlign w:val="bottom"/>
            <w:hideMark/>
          </w:tcPr>
          <w:p w14:paraId="7280BF13"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Amortización del principal</w:t>
            </w:r>
          </w:p>
        </w:tc>
        <w:tc>
          <w:tcPr>
            <w:tcW w:w="4139" w:type="dxa"/>
            <w:tcBorders>
              <w:top w:val="nil"/>
              <w:left w:val="nil"/>
              <w:bottom w:val="single" w:sz="4" w:space="0" w:color="auto"/>
              <w:right w:val="single" w:sz="4" w:space="0" w:color="auto"/>
            </w:tcBorders>
            <w:noWrap/>
            <w:vAlign w:val="bottom"/>
            <w:hideMark/>
          </w:tcPr>
          <w:p w14:paraId="502F28EC"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Al Vencimiento</w:t>
            </w:r>
          </w:p>
        </w:tc>
      </w:tr>
    </w:tbl>
    <w:p w14:paraId="4308A8EF" w14:textId="77777777" w:rsidR="00A65F5F" w:rsidRDefault="00A65F5F" w:rsidP="00A65F5F">
      <w:pPr>
        <w:ind w:right="-25"/>
        <w:rPr>
          <w:lang w:val="es-ES"/>
        </w:rPr>
      </w:pPr>
    </w:p>
    <w:p w14:paraId="3E45B61C" w14:textId="77777777" w:rsidR="00A65F5F" w:rsidRPr="00FE04D3" w:rsidRDefault="00A65F5F" w:rsidP="00A65F5F">
      <w:pPr>
        <w:ind w:right="-25"/>
        <w:rPr>
          <w:lang w:val="es-ES"/>
        </w:rPr>
      </w:pPr>
      <w:r>
        <w:rPr>
          <w:lang w:val="es-ES"/>
        </w:rPr>
        <w:t>La serie A5 fue colocada en su totalidad mediante subasta el día 14 de diciembre de 2010 mediante un solo tracto</w:t>
      </w:r>
    </w:p>
    <w:p w14:paraId="13682F7C" w14:textId="77777777" w:rsidR="00A65F5F" w:rsidRPr="00350325" w:rsidRDefault="00A65F5F" w:rsidP="00A65F5F">
      <w:pPr>
        <w:rPr>
          <w:lang w:val="es-ES"/>
        </w:rPr>
      </w:pPr>
    </w:p>
    <w:p w14:paraId="1EF25D53" w14:textId="77777777" w:rsidR="00A65F5F" w:rsidRPr="00FE04D3" w:rsidRDefault="00A65F5F" w:rsidP="00A65F5F">
      <w:pPr>
        <w:pStyle w:val="Ttulo4"/>
        <w:rPr>
          <w:lang w:val="es-ES"/>
        </w:rPr>
      </w:pPr>
      <w:r w:rsidRPr="00FE04D3">
        <w:rPr>
          <w:lang w:val="es-ES"/>
        </w:rPr>
        <w:t>Emisión de serie A6</w:t>
      </w:r>
    </w:p>
    <w:p w14:paraId="52F2F23F" w14:textId="77777777" w:rsidR="00A65F5F" w:rsidRDefault="00A65F5F" w:rsidP="00A65F5F">
      <w:pPr>
        <w:ind w:right="-25"/>
        <w:rPr>
          <w:lang w:val="es-ES"/>
        </w:rPr>
      </w:pPr>
    </w:p>
    <w:p w14:paraId="4D444476" w14:textId="02D7A6C7" w:rsidR="00A65F5F" w:rsidRDefault="00A65F5F" w:rsidP="00A65F5F">
      <w:pPr>
        <w:ind w:right="-25"/>
        <w:rPr>
          <w:lang w:val="es-ES"/>
        </w:rPr>
      </w:pPr>
      <w:r>
        <w:rPr>
          <w:lang w:val="es-ES"/>
        </w:rPr>
        <w:t>Esta serie fue inscrita con fecha 09 de agosto de 2011 y  tiene las siguientes características:</w:t>
      </w:r>
    </w:p>
    <w:p w14:paraId="2625BFEA" w14:textId="77777777" w:rsidR="00A672DF" w:rsidRDefault="00A672DF" w:rsidP="00A65F5F">
      <w:pPr>
        <w:ind w:right="-25"/>
        <w:rPr>
          <w:lang w:val="es-ES"/>
        </w:rPr>
      </w:pPr>
    </w:p>
    <w:tbl>
      <w:tblPr>
        <w:tblW w:w="6662" w:type="dxa"/>
        <w:tblInd w:w="1096" w:type="dxa"/>
        <w:tblCellMar>
          <w:left w:w="70" w:type="dxa"/>
          <w:right w:w="70" w:type="dxa"/>
        </w:tblCellMar>
        <w:tblLook w:val="04A0" w:firstRow="1" w:lastRow="0" w:firstColumn="1" w:lastColumn="0" w:noHBand="0" w:noVBand="1"/>
      </w:tblPr>
      <w:tblGrid>
        <w:gridCol w:w="2268"/>
        <w:gridCol w:w="4394"/>
      </w:tblGrid>
      <w:tr w:rsidR="00A65F5F" w:rsidRPr="00E0042A" w14:paraId="039B5DD1" w14:textId="77777777" w:rsidTr="00E92822">
        <w:trPr>
          <w:trHeight w:val="249"/>
        </w:trPr>
        <w:tc>
          <w:tcPr>
            <w:tcW w:w="2268" w:type="dxa"/>
            <w:tcBorders>
              <w:top w:val="single" w:sz="4" w:space="0" w:color="auto"/>
              <w:left w:val="single" w:sz="4" w:space="0" w:color="auto"/>
              <w:bottom w:val="single" w:sz="4" w:space="0" w:color="auto"/>
              <w:right w:val="single" w:sz="4" w:space="0" w:color="auto"/>
            </w:tcBorders>
            <w:shd w:val="clear" w:color="000000" w:fill="17375D"/>
            <w:vAlign w:val="bottom"/>
            <w:hideMark/>
          </w:tcPr>
          <w:p w14:paraId="4F033A15" w14:textId="77777777" w:rsidR="00A65F5F" w:rsidRPr="00722873" w:rsidRDefault="00A65F5F" w:rsidP="00E92822">
            <w:pPr>
              <w:rPr>
                <w:bCs/>
                <w:color w:val="FFFFFF"/>
                <w:sz w:val="18"/>
                <w:szCs w:val="18"/>
                <w:lang w:val="es-CR" w:eastAsia="es-CR"/>
              </w:rPr>
            </w:pPr>
            <w:r w:rsidRPr="00722873">
              <w:rPr>
                <w:bCs/>
                <w:color w:val="FFFFFF"/>
                <w:sz w:val="18"/>
                <w:szCs w:val="18"/>
                <w:lang w:val="es-CR" w:eastAsia="es-CR"/>
              </w:rPr>
              <w:t>Clase de instrumento</w:t>
            </w:r>
          </w:p>
        </w:tc>
        <w:tc>
          <w:tcPr>
            <w:tcW w:w="4394" w:type="dxa"/>
            <w:tcBorders>
              <w:top w:val="single" w:sz="4" w:space="0" w:color="auto"/>
              <w:left w:val="nil"/>
              <w:bottom w:val="single" w:sz="4" w:space="0" w:color="auto"/>
              <w:right w:val="single" w:sz="4" w:space="0" w:color="auto"/>
            </w:tcBorders>
            <w:shd w:val="clear" w:color="000000" w:fill="17375D"/>
            <w:vAlign w:val="bottom"/>
            <w:hideMark/>
          </w:tcPr>
          <w:p w14:paraId="49D821F4" w14:textId="77777777" w:rsidR="00A65F5F" w:rsidRPr="00722873" w:rsidRDefault="00A65F5F" w:rsidP="00E92822">
            <w:pPr>
              <w:rPr>
                <w:bCs/>
                <w:color w:val="FFFFFF"/>
                <w:sz w:val="18"/>
                <w:szCs w:val="18"/>
                <w:lang w:val="es-CR" w:eastAsia="es-CR"/>
              </w:rPr>
            </w:pPr>
            <w:r w:rsidRPr="00722873">
              <w:rPr>
                <w:bCs/>
                <w:color w:val="FFFFFF"/>
                <w:sz w:val="18"/>
                <w:szCs w:val="18"/>
                <w:lang w:val="es-CR" w:eastAsia="es-CR"/>
              </w:rPr>
              <w:t>Bonos Estandarizados</w:t>
            </w:r>
          </w:p>
        </w:tc>
      </w:tr>
      <w:tr w:rsidR="00A65F5F" w:rsidRPr="00E0042A" w14:paraId="35FAEED9" w14:textId="77777777" w:rsidTr="00E92822">
        <w:trPr>
          <w:trHeight w:val="70"/>
        </w:trPr>
        <w:tc>
          <w:tcPr>
            <w:tcW w:w="2268" w:type="dxa"/>
            <w:tcBorders>
              <w:top w:val="nil"/>
              <w:left w:val="single" w:sz="4" w:space="0" w:color="auto"/>
              <w:bottom w:val="single" w:sz="4" w:space="0" w:color="auto"/>
              <w:right w:val="single" w:sz="4" w:space="0" w:color="auto"/>
            </w:tcBorders>
            <w:shd w:val="clear" w:color="000000" w:fill="17375D"/>
            <w:vAlign w:val="bottom"/>
            <w:hideMark/>
          </w:tcPr>
          <w:p w14:paraId="7A6ADC09" w14:textId="77777777" w:rsidR="00A65F5F" w:rsidRPr="00722873" w:rsidRDefault="00A65F5F" w:rsidP="00E92822">
            <w:pPr>
              <w:rPr>
                <w:bCs/>
                <w:color w:val="FFFFFF"/>
                <w:sz w:val="18"/>
                <w:szCs w:val="18"/>
                <w:lang w:val="es-CR" w:eastAsia="es-CR"/>
              </w:rPr>
            </w:pPr>
            <w:r w:rsidRPr="00722873">
              <w:rPr>
                <w:bCs/>
                <w:color w:val="FFFFFF"/>
                <w:sz w:val="18"/>
                <w:szCs w:val="18"/>
                <w:lang w:val="es-CR" w:eastAsia="es-CR"/>
              </w:rPr>
              <w:t>Nombre de la serie</w:t>
            </w:r>
          </w:p>
        </w:tc>
        <w:tc>
          <w:tcPr>
            <w:tcW w:w="4394" w:type="dxa"/>
            <w:tcBorders>
              <w:top w:val="nil"/>
              <w:left w:val="nil"/>
              <w:bottom w:val="single" w:sz="4" w:space="0" w:color="auto"/>
              <w:right w:val="single" w:sz="4" w:space="0" w:color="auto"/>
            </w:tcBorders>
            <w:shd w:val="clear" w:color="000000" w:fill="17375D"/>
            <w:vAlign w:val="bottom"/>
            <w:hideMark/>
          </w:tcPr>
          <w:p w14:paraId="70883F8D" w14:textId="77777777" w:rsidR="00A65F5F" w:rsidRPr="00722873" w:rsidRDefault="00A65F5F" w:rsidP="00E92822">
            <w:pPr>
              <w:rPr>
                <w:bCs/>
                <w:color w:val="FFFFFF"/>
                <w:sz w:val="18"/>
                <w:szCs w:val="18"/>
                <w:lang w:val="es-CR" w:eastAsia="es-CR"/>
              </w:rPr>
            </w:pPr>
            <w:r w:rsidRPr="00722873">
              <w:rPr>
                <w:bCs/>
                <w:color w:val="FFFFFF"/>
                <w:sz w:val="18"/>
                <w:szCs w:val="18"/>
                <w:lang w:val="es-CR" w:eastAsia="es-CR"/>
              </w:rPr>
              <w:t>A6</w:t>
            </w:r>
          </w:p>
        </w:tc>
      </w:tr>
      <w:tr w:rsidR="00A65F5F" w:rsidRPr="00E0042A" w14:paraId="79CCA95F" w14:textId="77777777" w:rsidTr="00E92822">
        <w:trPr>
          <w:trHeight w:val="315"/>
        </w:trPr>
        <w:tc>
          <w:tcPr>
            <w:tcW w:w="2268" w:type="dxa"/>
            <w:tcBorders>
              <w:top w:val="nil"/>
              <w:left w:val="single" w:sz="4" w:space="0" w:color="auto"/>
              <w:bottom w:val="single" w:sz="4" w:space="0" w:color="auto"/>
              <w:right w:val="single" w:sz="4" w:space="0" w:color="auto"/>
            </w:tcBorders>
            <w:vAlign w:val="bottom"/>
            <w:hideMark/>
          </w:tcPr>
          <w:p w14:paraId="76A9C096"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Código ISIN</w:t>
            </w:r>
          </w:p>
        </w:tc>
        <w:tc>
          <w:tcPr>
            <w:tcW w:w="4394" w:type="dxa"/>
            <w:tcBorders>
              <w:top w:val="nil"/>
              <w:left w:val="nil"/>
              <w:bottom w:val="single" w:sz="4" w:space="0" w:color="auto"/>
              <w:right w:val="single" w:sz="4" w:space="0" w:color="auto"/>
            </w:tcBorders>
            <w:vAlign w:val="bottom"/>
            <w:hideMark/>
          </w:tcPr>
          <w:p w14:paraId="694E3ED0"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CRICE00B0127</w:t>
            </w:r>
          </w:p>
        </w:tc>
      </w:tr>
      <w:tr w:rsidR="00A65F5F" w:rsidRPr="00E0042A" w14:paraId="653C7D75" w14:textId="77777777" w:rsidTr="00E92822">
        <w:trPr>
          <w:trHeight w:val="315"/>
        </w:trPr>
        <w:tc>
          <w:tcPr>
            <w:tcW w:w="2268" w:type="dxa"/>
            <w:tcBorders>
              <w:top w:val="nil"/>
              <w:left w:val="single" w:sz="4" w:space="0" w:color="auto"/>
              <w:bottom w:val="single" w:sz="4" w:space="0" w:color="auto"/>
              <w:right w:val="single" w:sz="4" w:space="0" w:color="auto"/>
            </w:tcBorders>
            <w:vAlign w:val="bottom"/>
            <w:hideMark/>
          </w:tcPr>
          <w:p w14:paraId="3B8A8C5C"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Nemotécnico</w:t>
            </w:r>
          </w:p>
        </w:tc>
        <w:tc>
          <w:tcPr>
            <w:tcW w:w="4394" w:type="dxa"/>
            <w:tcBorders>
              <w:top w:val="nil"/>
              <w:left w:val="nil"/>
              <w:bottom w:val="single" w:sz="4" w:space="0" w:color="auto"/>
              <w:right w:val="single" w:sz="4" w:space="0" w:color="auto"/>
            </w:tcBorders>
            <w:vAlign w:val="bottom"/>
            <w:hideMark/>
          </w:tcPr>
          <w:p w14:paraId="4D378029"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bic6</w:t>
            </w:r>
          </w:p>
        </w:tc>
      </w:tr>
      <w:tr w:rsidR="00A65F5F" w:rsidRPr="00E0042A" w14:paraId="204141D4" w14:textId="77777777" w:rsidTr="00E92822">
        <w:trPr>
          <w:trHeight w:val="394"/>
        </w:trPr>
        <w:tc>
          <w:tcPr>
            <w:tcW w:w="2268" w:type="dxa"/>
            <w:tcBorders>
              <w:top w:val="nil"/>
              <w:left w:val="single" w:sz="4" w:space="0" w:color="auto"/>
              <w:bottom w:val="single" w:sz="4" w:space="0" w:color="auto"/>
              <w:right w:val="single" w:sz="4" w:space="0" w:color="auto"/>
            </w:tcBorders>
            <w:vAlign w:val="bottom"/>
            <w:hideMark/>
          </w:tcPr>
          <w:p w14:paraId="5CA5E62A"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Monto de la emisión y moneda</w:t>
            </w:r>
          </w:p>
        </w:tc>
        <w:tc>
          <w:tcPr>
            <w:tcW w:w="4394" w:type="dxa"/>
            <w:tcBorders>
              <w:top w:val="nil"/>
              <w:left w:val="nil"/>
              <w:bottom w:val="single" w:sz="4" w:space="0" w:color="auto"/>
              <w:right w:val="single" w:sz="4" w:space="0" w:color="auto"/>
            </w:tcBorders>
            <w:vAlign w:val="bottom"/>
            <w:hideMark/>
          </w:tcPr>
          <w:p w14:paraId="637BD257"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w:t>
            </w:r>
            <w:r>
              <w:rPr>
                <w:color w:val="000000"/>
                <w:sz w:val="18"/>
                <w:szCs w:val="18"/>
                <w:lang w:val="es-CR" w:eastAsia="es-CR"/>
              </w:rPr>
              <w:t>25</w:t>
            </w:r>
            <w:r w:rsidRPr="00E0042A">
              <w:rPr>
                <w:color w:val="000000"/>
                <w:sz w:val="18"/>
                <w:szCs w:val="18"/>
                <w:lang w:val="es-CR" w:eastAsia="es-CR"/>
              </w:rPr>
              <w:t>.</w:t>
            </w:r>
            <w:r>
              <w:rPr>
                <w:color w:val="000000"/>
                <w:sz w:val="18"/>
                <w:szCs w:val="18"/>
                <w:lang w:val="es-CR" w:eastAsia="es-CR"/>
              </w:rPr>
              <w:t>107</w:t>
            </w:r>
            <w:r w:rsidRPr="00E0042A">
              <w:rPr>
                <w:color w:val="000000"/>
                <w:sz w:val="18"/>
                <w:szCs w:val="18"/>
                <w:lang w:val="es-CR" w:eastAsia="es-CR"/>
              </w:rPr>
              <w:t>.000.000 (</w:t>
            </w:r>
            <w:r>
              <w:rPr>
                <w:color w:val="000000"/>
                <w:sz w:val="18"/>
                <w:szCs w:val="18"/>
                <w:lang w:val="es-CR" w:eastAsia="es-CR"/>
              </w:rPr>
              <w:t xml:space="preserve">Veinticinco </w:t>
            </w:r>
            <w:r w:rsidRPr="00E0042A">
              <w:rPr>
                <w:color w:val="000000"/>
                <w:sz w:val="18"/>
                <w:szCs w:val="18"/>
                <w:lang w:val="es-CR" w:eastAsia="es-CR"/>
              </w:rPr>
              <w:t>mil</w:t>
            </w:r>
            <w:r>
              <w:rPr>
                <w:color w:val="000000"/>
                <w:sz w:val="18"/>
                <w:szCs w:val="18"/>
                <w:lang w:val="es-CR" w:eastAsia="es-CR"/>
              </w:rPr>
              <w:t xml:space="preserve"> ciento siete</w:t>
            </w:r>
            <w:r w:rsidRPr="00E0042A">
              <w:rPr>
                <w:color w:val="000000"/>
                <w:sz w:val="18"/>
                <w:szCs w:val="18"/>
                <w:lang w:val="es-CR" w:eastAsia="es-CR"/>
              </w:rPr>
              <w:t xml:space="preserve"> millones)</w:t>
            </w:r>
          </w:p>
        </w:tc>
      </w:tr>
      <w:tr w:rsidR="00A65F5F" w:rsidRPr="00E0042A" w14:paraId="30FF65FC" w14:textId="77777777" w:rsidTr="00E92822">
        <w:trPr>
          <w:trHeight w:val="259"/>
        </w:trPr>
        <w:tc>
          <w:tcPr>
            <w:tcW w:w="2268" w:type="dxa"/>
            <w:tcBorders>
              <w:top w:val="nil"/>
              <w:left w:val="single" w:sz="4" w:space="0" w:color="auto"/>
              <w:bottom w:val="single" w:sz="4" w:space="0" w:color="auto"/>
              <w:right w:val="single" w:sz="4" w:space="0" w:color="auto"/>
            </w:tcBorders>
            <w:vAlign w:val="bottom"/>
            <w:hideMark/>
          </w:tcPr>
          <w:p w14:paraId="02871CEA"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Plazo</w:t>
            </w:r>
          </w:p>
        </w:tc>
        <w:tc>
          <w:tcPr>
            <w:tcW w:w="4394" w:type="dxa"/>
            <w:tcBorders>
              <w:top w:val="nil"/>
              <w:left w:val="nil"/>
              <w:bottom w:val="single" w:sz="4" w:space="0" w:color="auto"/>
              <w:right w:val="single" w:sz="4" w:space="0" w:color="auto"/>
            </w:tcBorders>
            <w:vAlign w:val="bottom"/>
            <w:hideMark/>
          </w:tcPr>
          <w:p w14:paraId="146CE7A5"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12 años</w:t>
            </w:r>
          </w:p>
        </w:tc>
      </w:tr>
      <w:tr w:rsidR="00A65F5F" w:rsidRPr="00E0042A" w14:paraId="3FD43ED3" w14:textId="77777777" w:rsidTr="00E92822">
        <w:trPr>
          <w:trHeight w:val="264"/>
        </w:trPr>
        <w:tc>
          <w:tcPr>
            <w:tcW w:w="2268" w:type="dxa"/>
            <w:tcBorders>
              <w:top w:val="nil"/>
              <w:left w:val="single" w:sz="4" w:space="0" w:color="auto"/>
              <w:bottom w:val="single" w:sz="4" w:space="0" w:color="auto"/>
              <w:right w:val="single" w:sz="4" w:space="0" w:color="auto"/>
            </w:tcBorders>
            <w:vAlign w:val="bottom"/>
            <w:hideMark/>
          </w:tcPr>
          <w:p w14:paraId="50F83223"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Fecha de emisión</w:t>
            </w:r>
          </w:p>
        </w:tc>
        <w:tc>
          <w:tcPr>
            <w:tcW w:w="4394" w:type="dxa"/>
            <w:tcBorders>
              <w:top w:val="nil"/>
              <w:left w:val="nil"/>
              <w:bottom w:val="single" w:sz="4" w:space="0" w:color="auto"/>
              <w:right w:val="single" w:sz="4" w:space="0" w:color="auto"/>
            </w:tcBorders>
            <w:noWrap/>
            <w:vAlign w:val="bottom"/>
            <w:hideMark/>
          </w:tcPr>
          <w:p w14:paraId="5CA84E64"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11 de agosto de 2011</w:t>
            </w:r>
          </w:p>
        </w:tc>
      </w:tr>
      <w:tr w:rsidR="00A65F5F" w:rsidRPr="00E0042A" w14:paraId="787EB2ED" w14:textId="77777777" w:rsidTr="00E92822">
        <w:trPr>
          <w:trHeight w:val="300"/>
        </w:trPr>
        <w:tc>
          <w:tcPr>
            <w:tcW w:w="2268" w:type="dxa"/>
            <w:tcBorders>
              <w:top w:val="nil"/>
              <w:left w:val="single" w:sz="4" w:space="0" w:color="auto"/>
              <w:bottom w:val="single" w:sz="4" w:space="0" w:color="auto"/>
              <w:right w:val="single" w:sz="4" w:space="0" w:color="auto"/>
            </w:tcBorders>
            <w:vAlign w:val="bottom"/>
            <w:hideMark/>
          </w:tcPr>
          <w:p w14:paraId="4C7AFF17"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Fecha de vencimiento</w:t>
            </w:r>
          </w:p>
        </w:tc>
        <w:tc>
          <w:tcPr>
            <w:tcW w:w="4394" w:type="dxa"/>
            <w:tcBorders>
              <w:top w:val="nil"/>
              <w:left w:val="nil"/>
              <w:bottom w:val="single" w:sz="4" w:space="0" w:color="auto"/>
              <w:right w:val="single" w:sz="4" w:space="0" w:color="auto"/>
            </w:tcBorders>
            <w:noWrap/>
            <w:vAlign w:val="bottom"/>
            <w:hideMark/>
          </w:tcPr>
          <w:p w14:paraId="2598F86A"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11 de agosto de 2023</w:t>
            </w:r>
          </w:p>
        </w:tc>
      </w:tr>
      <w:tr w:rsidR="00A65F5F" w:rsidRPr="00E0042A" w14:paraId="38F42EE8" w14:textId="77777777" w:rsidTr="00E92822">
        <w:trPr>
          <w:trHeight w:val="300"/>
        </w:trPr>
        <w:tc>
          <w:tcPr>
            <w:tcW w:w="2268" w:type="dxa"/>
            <w:tcBorders>
              <w:top w:val="nil"/>
              <w:left w:val="single" w:sz="4" w:space="0" w:color="auto"/>
              <w:bottom w:val="single" w:sz="4" w:space="0" w:color="auto"/>
              <w:right w:val="single" w:sz="4" w:space="0" w:color="auto"/>
            </w:tcBorders>
            <w:vAlign w:val="bottom"/>
            <w:hideMark/>
          </w:tcPr>
          <w:p w14:paraId="2FA325AF"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de interés bruta (1)</w:t>
            </w:r>
          </w:p>
        </w:tc>
        <w:tc>
          <w:tcPr>
            <w:tcW w:w="4394" w:type="dxa"/>
            <w:tcBorders>
              <w:top w:val="nil"/>
              <w:left w:val="nil"/>
              <w:bottom w:val="single" w:sz="4" w:space="0" w:color="auto"/>
              <w:right w:val="single" w:sz="4" w:space="0" w:color="auto"/>
            </w:tcBorders>
            <w:noWrap/>
            <w:vAlign w:val="bottom"/>
            <w:hideMark/>
          </w:tcPr>
          <w:p w14:paraId="20E98085"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TBP + 2,15%</w:t>
            </w:r>
          </w:p>
        </w:tc>
      </w:tr>
      <w:tr w:rsidR="00A65F5F" w:rsidRPr="00E0042A" w14:paraId="4CD4500C" w14:textId="77777777" w:rsidTr="00E92822">
        <w:trPr>
          <w:trHeight w:val="361"/>
        </w:trPr>
        <w:tc>
          <w:tcPr>
            <w:tcW w:w="2268" w:type="dxa"/>
            <w:tcBorders>
              <w:top w:val="nil"/>
              <w:left w:val="single" w:sz="4" w:space="0" w:color="auto"/>
              <w:bottom w:val="single" w:sz="4" w:space="0" w:color="auto"/>
              <w:right w:val="single" w:sz="4" w:space="0" w:color="auto"/>
            </w:tcBorders>
            <w:vAlign w:val="bottom"/>
            <w:hideMark/>
          </w:tcPr>
          <w:p w14:paraId="0AB843CA"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de interés neta (1)</w:t>
            </w:r>
          </w:p>
        </w:tc>
        <w:tc>
          <w:tcPr>
            <w:tcW w:w="4394" w:type="dxa"/>
            <w:tcBorders>
              <w:top w:val="nil"/>
              <w:left w:val="nil"/>
              <w:bottom w:val="single" w:sz="4" w:space="0" w:color="auto"/>
              <w:right w:val="single" w:sz="4" w:space="0" w:color="auto"/>
            </w:tcBorders>
            <w:vAlign w:val="bottom"/>
            <w:hideMark/>
          </w:tcPr>
          <w:p w14:paraId="5A0D5720"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Tasa Bruta menos el  Impuesto sobre la Renta</w:t>
            </w:r>
          </w:p>
        </w:tc>
      </w:tr>
      <w:tr w:rsidR="00A65F5F" w:rsidRPr="00E0042A" w14:paraId="0CC5A01A" w14:textId="77777777" w:rsidTr="00E92822">
        <w:trPr>
          <w:trHeight w:val="300"/>
        </w:trPr>
        <w:tc>
          <w:tcPr>
            <w:tcW w:w="2268" w:type="dxa"/>
            <w:tcBorders>
              <w:top w:val="nil"/>
              <w:left w:val="single" w:sz="4" w:space="0" w:color="auto"/>
              <w:bottom w:val="single" w:sz="4" w:space="0" w:color="auto"/>
              <w:right w:val="single" w:sz="4" w:space="0" w:color="auto"/>
            </w:tcBorders>
            <w:vAlign w:val="bottom"/>
            <w:hideMark/>
          </w:tcPr>
          <w:p w14:paraId="080FCC02"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Amortización del principal</w:t>
            </w:r>
          </w:p>
        </w:tc>
        <w:tc>
          <w:tcPr>
            <w:tcW w:w="4394" w:type="dxa"/>
            <w:tcBorders>
              <w:top w:val="nil"/>
              <w:left w:val="nil"/>
              <w:bottom w:val="single" w:sz="4" w:space="0" w:color="auto"/>
              <w:right w:val="single" w:sz="4" w:space="0" w:color="auto"/>
            </w:tcBorders>
            <w:noWrap/>
            <w:vAlign w:val="bottom"/>
            <w:hideMark/>
          </w:tcPr>
          <w:p w14:paraId="61120E90" w14:textId="77777777" w:rsidR="00A65F5F" w:rsidRPr="00E0042A" w:rsidRDefault="00A65F5F" w:rsidP="00E92822">
            <w:pPr>
              <w:rPr>
                <w:color w:val="000000"/>
                <w:sz w:val="18"/>
                <w:szCs w:val="18"/>
                <w:lang w:val="es-CR" w:eastAsia="es-CR"/>
              </w:rPr>
            </w:pPr>
            <w:r w:rsidRPr="00E0042A">
              <w:rPr>
                <w:color w:val="000000"/>
                <w:sz w:val="18"/>
                <w:szCs w:val="18"/>
                <w:lang w:val="es-CR" w:eastAsia="es-CR"/>
              </w:rPr>
              <w:t>Al Vencimiento</w:t>
            </w:r>
          </w:p>
        </w:tc>
      </w:tr>
    </w:tbl>
    <w:p w14:paraId="149BCD9B" w14:textId="77777777" w:rsidR="00A65F5F" w:rsidRPr="00E0042A" w:rsidRDefault="00A65F5F" w:rsidP="00A65F5F">
      <w:pPr>
        <w:ind w:right="-25"/>
        <w:rPr>
          <w:sz w:val="18"/>
          <w:szCs w:val="18"/>
          <w:lang w:val="es-ES"/>
        </w:rPr>
      </w:pPr>
    </w:p>
    <w:p w14:paraId="382B63B7" w14:textId="77777777" w:rsidR="00A65F5F" w:rsidRDefault="00A65F5F" w:rsidP="00A65F5F">
      <w:pPr>
        <w:ind w:right="-25"/>
        <w:rPr>
          <w:lang w:val="es-ES"/>
        </w:rPr>
      </w:pPr>
      <w:r w:rsidRPr="008A501A">
        <w:rPr>
          <w:lang w:val="es-ES"/>
        </w:rPr>
        <w:t xml:space="preserve">La serie A6 fue colocada parcialmente mediante subasta los días  11 de agosto del 2011 por la suma de ¢6.700 millones, 29 de setiembre del 2011 por la suma de ¢9.306 millones, el día 20 de octubre del 2011 por la suma de ¢2.750 millones, y el 15 de octubre del 2014 por la suma de ¢6.351 millones.  </w:t>
      </w:r>
      <w:r>
        <w:rPr>
          <w:lang w:val="es-ES"/>
        </w:rPr>
        <w:t xml:space="preserve">El plazo para la colocación del remanente de dicha serie se venció el 17 de febrero del 2015, por lo que la misma quedó con un monto de emisión de ¢25,107,000,000. </w:t>
      </w:r>
    </w:p>
    <w:p w14:paraId="376DC7D9" w14:textId="77777777" w:rsidR="00A65F5F" w:rsidRDefault="00A65F5F" w:rsidP="00A65F5F">
      <w:pPr>
        <w:rPr>
          <w:lang w:val="es-ES"/>
        </w:rPr>
      </w:pPr>
    </w:p>
    <w:p w14:paraId="24C5EAFC" w14:textId="77777777" w:rsidR="00A65F5F" w:rsidRPr="00731155" w:rsidRDefault="00A65F5F" w:rsidP="00A65F5F">
      <w:pPr>
        <w:rPr>
          <w:sz w:val="18"/>
          <w:szCs w:val="18"/>
          <w:lang w:val="es-ES"/>
        </w:rPr>
      </w:pPr>
    </w:p>
    <w:p w14:paraId="1238930C" w14:textId="77777777" w:rsidR="00A65F5F" w:rsidRDefault="00A65F5F" w:rsidP="00A65F5F">
      <w:pPr>
        <w:ind w:right="-25"/>
        <w:rPr>
          <w:lang w:val="es-ES"/>
        </w:rPr>
      </w:pPr>
    </w:p>
    <w:p w14:paraId="1F6DE5B7" w14:textId="77777777" w:rsidR="00A65F5F" w:rsidRDefault="00A65F5F" w:rsidP="00A65F5F">
      <w:pPr>
        <w:pStyle w:val="Ttulo3"/>
        <w:numPr>
          <w:ilvl w:val="2"/>
          <w:numId w:val="1"/>
        </w:numPr>
        <w:ind w:left="142" w:hanging="709"/>
        <w:rPr>
          <w:lang w:val="es-ES"/>
        </w:rPr>
      </w:pPr>
      <w:bookmarkStart w:id="122" w:name="_Toc304737154"/>
      <w:bookmarkStart w:id="123" w:name="_Toc343675983"/>
      <w:bookmarkStart w:id="124" w:name="_Toc358619347"/>
      <w:bookmarkStart w:id="125" w:name="_Toc358620612"/>
      <w:bookmarkStart w:id="126" w:name="_Toc358621819"/>
      <w:bookmarkStart w:id="127" w:name="_Toc358622796"/>
      <w:bookmarkStart w:id="128" w:name="_Toc421264435"/>
      <w:bookmarkStart w:id="129" w:name="_Toc26357108"/>
      <w:bookmarkStart w:id="130" w:name="_Toc138664896"/>
      <w:r>
        <w:rPr>
          <w:lang w:val="es-ES"/>
        </w:rPr>
        <w:t>Series colocadas pertenecientes al Programa E</w:t>
      </w:r>
      <w:bookmarkEnd w:id="122"/>
      <w:bookmarkEnd w:id="123"/>
      <w:bookmarkEnd w:id="124"/>
      <w:bookmarkEnd w:id="125"/>
      <w:bookmarkEnd w:id="126"/>
      <w:bookmarkEnd w:id="127"/>
      <w:bookmarkEnd w:id="128"/>
      <w:bookmarkEnd w:id="129"/>
      <w:bookmarkEnd w:id="130"/>
    </w:p>
    <w:p w14:paraId="24E42FC9" w14:textId="77777777" w:rsidR="00A65F5F" w:rsidRDefault="00A65F5F" w:rsidP="00A65F5F">
      <w:pPr>
        <w:pStyle w:val="Ttulo4"/>
        <w:rPr>
          <w:lang w:val="es-ES"/>
        </w:rPr>
      </w:pPr>
      <w:r>
        <w:rPr>
          <w:lang w:val="es-ES"/>
        </w:rPr>
        <w:t>Emisión serie E2</w:t>
      </w:r>
    </w:p>
    <w:p w14:paraId="6109F2AE" w14:textId="0A446628" w:rsidR="00A65F5F" w:rsidRDefault="00A65F5F" w:rsidP="00A65F5F">
      <w:pPr>
        <w:rPr>
          <w:lang w:val="es-ES"/>
        </w:rPr>
      </w:pPr>
      <w:r>
        <w:rPr>
          <w:lang w:val="es-ES"/>
        </w:rPr>
        <w:t>La serie E2</w:t>
      </w:r>
      <w:r w:rsidRPr="00747AE6">
        <w:rPr>
          <w:lang w:val="es-ES"/>
        </w:rPr>
        <w:t xml:space="preserve"> fue inscrita </w:t>
      </w:r>
      <w:r>
        <w:rPr>
          <w:lang w:val="es-ES"/>
        </w:rPr>
        <w:t>con fecha</w:t>
      </w:r>
      <w:r w:rsidRPr="00747AE6">
        <w:rPr>
          <w:lang w:val="es-ES"/>
        </w:rPr>
        <w:t xml:space="preserve"> </w:t>
      </w:r>
      <w:r>
        <w:rPr>
          <w:lang w:val="es-ES"/>
        </w:rPr>
        <w:t>09</w:t>
      </w:r>
      <w:r w:rsidRPr="00747AE6">
        <w:rPr>
          <w:lang w:val="es-ES"/>
        </w:rPr>
        <w:t xml:space="preserve"> de </w:t>
      </w:r>
      <w:r>
        <w:rPr>
          <w:lang w:val="es-ES"/>
        </w:rPr>
        <w:t>noviem</w:t>
      </w:r>
      <w:r w:rsidRPr="00747AE6">
        <w:rPr>
          <w:lang w:val="es-ES"/>
        </w:rPr>
        <w:t>bre de 201</w:t>
      </w:r>
      <w:r>
        <w:rPr>
          <w:lang w:val="es-ES"/>
        </w:rPr>
        <w:t>1 y</w:t>
      </w:r>
      <w:r w:rsidRPr="00747AE6">
        <w:rPr>
          <w:lang w:val="es-ES"/>
        </w:rPr>
        <w:t xml:space="preserve"> tiene las siguientes características:</w:t>
      </w:r>
    </w:p>
    <w:p w14:paraId="7D0FC567" w14:textId="42DAEB58" w:rsidR="00A672DF" w:rsidRDefault="00A672DF" w:rsidP="00A65F5F">
      <w:pPr>
        <w:rPr>
          <w:lang w:val="es-ES"/>
        </w:rPr>
      </w:pPr>
    </w:p>
    <w:p w14:paraId="55AFF40C" w14:textId="77777777" w:rsidR="00A65F5F" w:rsidRDefault="00A65F5F" w:rsidP="00A65F5F">
      <w:pPr>
        <w:rPr>
          <w:u w:val="single"/>
          <w:lang w:val="es-ES"/>
        </w:rPr>
      </w:pPr>
    </w:p>
    <w:tbl>
      <w:tblPr>
        <w:tblpPr w:leftFromText="141" w:rightFromText="141" w:vertAnchor="text" w:horzAnchor="page" w:tblpX="3212" w:tblpY="177"/>
        <w:tblW w:w="6733" w:type="dxa"/>
        <w:tblCellMar>
          <w:left w:w="70" w:type="dxa"/>
          <w:right w:w="70" w:type="dxa"/>
        </w:tblCellMar>
        <w:tblLook w:val="04A0" w:firstRow="1" w:lastRow="0" w:firstColumn="1" w:lastColumn="0" w:noHBand="0" w:noVBand="1"/>
      </w:tblPr>
      <w:tblGrid>
        <w:gridCol w:w="3174"/>
        <w:gridCol w:w="3559"/>
      </w:tblGrid>
      <w:tr w:rsidR="00A65F5F" w:rsidRPr="00731155" w14:paraId="3AB2D553" w14:textId="77777777" w:rsidTr="00E92822">
        <w:trPr>
          <w:trHeight w:val="300"/>
        </w:trPr>
        <w:tc>
          <w:tcPr>
            <w:tcW w:w="3174" w:type="dxa"/>
            <w:tcBorders>
              <w:top w:val="single" w:sz="4" w:space="0" w:color="auto"/>
              <w:left w:val="single" w:sz="4" w:space="0" w:color="auto"/>
              <w:bottom w:val="single" w:sz="4" w:space="0" w:color="auto"/>
              <w:right w:val="single" w:sz="4" w:space="0" w:color="auto"/>
            </w:tcBorders>
            <w:shd w:val="clear" w:color="000000" w:fill="17375D"/>
            <w:vAlign w:val="bottom"/>
            <w:hideMark/>
          </w:tcPr>
          <w:p w14:paraId="5A324D58" w14:textId="77777777" w:rsidR="00A65F5F" w:rsidRPr="00AF49F9" w:rsidRDefault="00A65F5F" w:rsidP="00E92822">
            <w:pPr>
              <w:ind w:right="0"/>
              <w:jc w:val="left"/>
              <w:rPr>
                <w:bCs/>
                <w:color w:val="FFFFFF"/>
                <w:sz w:val="18"/>
                <w:szCs w:val="18"/>
                <w:lang w:val="es-CR" w:eastAsia="es-CR"/>
              </w:rPr>
            </w:pPr>
            <w:r w:rsidRPr="00AF49F9">
              <w:rPr>
                <w:bCs/>
                <w:color w:val="FFFFFF"/>
                <w:sz w:val="18"/>
                <w:szCs w:val="18"/>
                <w:lang w:val="es-CR" w:eastAsia="es-CR"/>
              </w:rPr>
              <w:t>Clase de instrumento</w:t>
            </w:r>
          </w:p>
        </w:tc>
        <w:tc>
          <w:tcPr>
            <w:tcW w:w="3559" w:type="dxa"/>
            <w:tcBorders>
              <w:top w:val="single" w:sz="4" w:space="0" w:color="auto"/>
              <w:left w:val="nil"/>
              <w:bottom w:val="single" w:sz="4" w:space="0" w:color="auto"/>
              <w:right w:val="single" w:sz="4" w:space="0" w:color="auto"/>
            </w:tcBorders>
            <w:shd w:val="clear" w:color="000000" w:fill="17375D"/>
            <w:vAlign w:val="bottom"/>
            <w:hideMark/>
          </w:tcPr>
          <w:p w14:paraId="56CE12C4" w14:textId="77777777" w:rsidR="00A65F5F" w:rsidRPr="00AF49F9" w:rsidRDefault="00A65F5F" w:rsidP="00E92822">
            <w:pPr>
              <w:ind w:right="0"/>
              <w:jc w:val="left"/>
              <w:rPr>
                <w:bCs/>
                <w:color w:val="FFFFFF"/>
                <w:sz w:val="18"/>
                <w:szCs w:val="18"/>
                <w:lang w:val="es-CR" w:eastAsia="es-CR"/>
              </w:rPr>
            </w:pPr>
            <w:r w:rsidRPr="00AF49F9">
              <w:rPr>
                <w:bCs/>
                <w:color w:val="FFFFFF"/>
                <w:sz w:val="18"/>
                <w:szCs w:val="18"/>
                <w:lang w:val="es-CR" w:eastAsia="es-CR"/>
              </w:rPr>
              <w:t>Bonos Estandarizados</w:t>
            </w:r>
          </w:p>
        </w:tc>
      </w:tr>
      <w:tr w:rsidR="00A65F5F" w:rsidRPr="00731155" w14:paraId="0ED9145E" w14:textId="77777777" w:rsidTr="00E92822">
        <w:trPr>
          <w:trHeight w:val="300"/>
        </w:trPr>
        <w:tc>
          <w:tcPr>
            <w:tcW w:w="3174" w:type="dxa"/>
            <w:tcBorders>
              <w:top w:val="nil"/>
              <w:left w:val="single" w:sz="4" w:space="0" w:color="auto"/>
              <w:bottom w:val="single" w:sz="4" w:space="0" w:color="auto"/>
              <w:right w:val="single" w:sz="4" w:space="0" w:color="auto"/>
            </w:tcBorders>
            <w:shd w:val="clear" w:color="000000" w:fill="17375D"/>
            <w:vAlign w:val="bottom"/>
            <w:hideMark/>
          </w:tcPr>
          <w:p w14:paraId="79AEAF1C" w14:textId="77777777" w:rsidR="00A65F5F" w:rsidRPr="00AF49F9" w:rsidRDefault="00A65F5F" w:rsidP="00E92822">
            <w:pPr>
              <w:ind w:right="0"/>
              <w:jc w:val="left"/>
              <w:rPr>
                <w:bCs/>
                <w:color w:val="FFFFFF"/>
                <w:sz w:val="18"/>
                <w:szCs w:val="18"/>
                <w:lang w:val="es-CR" w:eastAsia="es-CR"/>
              </w:rPr>
            </w:pPr>
            <w:r w:rsidRPr="00AF49F9">
              <w:rPr>
                <w:bCs/>
                <w:color w:val="FFFFFF"/>
                <w:sz w:val="18"/>
                <w:szCs w:val="18"/>
                <w:lang w:val="es-CR" w:eastAsia="es-CR"/>
              </w:rPr>
              <w:t>Nombre de la serie</w:t>
            </w:r>
          </w:p>
        </w:tc>
        <w:tc>
          <w:tcPr>
            <w:tcW w:w="3559" w:type="dxa"/>
            <w:tcBorders>
              <w:top w:val="nil"/>
              <w:left w:val="nil"/>
              <w:bottom w:val="single" w:sz="4" w:space="0" w:color="auto"/>
              <w:right w:val="single" w:sz="4" w:space="0" w:color="auto"/>
            </w:tcBorders>
            <w:shd w:val="clear" w:color="000000" w:fill="17375D"/>
            <w:vAlign w:val="bottom"/>
            <w:hideMark/>
          </w:tcPr>
          <w:p w14:paraId="3D80BCD5" w14:textId="77777777" w:rsidR="00A65F5F" w:rsidRPr="00AF49F9" w:rsidRDefault="00A65F5F" w:rsidP="00E92822">
            <w:pPr>
              <w:ind w:right="0"/>
              <w:jc w:val="left"/>
              <w:rPr>
                <w:bCs/>
                <w:color w:val="FFFFFF"/>
                <w:sz w:val="18"/>
                <w:szCs w:val="18"/>
                <w:lang w:val="es-CR" w:eastAsia="es-CR"/>
              </w:rPr>
            </w:pPr>
            <w:r w:rsidRPr="00AF49F9">
              <w:rPr>
                <w:bCs/>
                <w:color w:val="FFFFFF"/>
                <w:sz w:val="18"/>
                <w:szCs w:val="18"/>
                <w:lang w:val="es-CR" w:eastAsia="es-CR"/>
              </w:rPr>
              <w:t>E2</w:t>
            </w:r>
          </w:p>
        </w:tc>
      </w:tr>
      <w:tr w:rsidR="00A65F5F" w:rsidRPr="00731155" w14:paraId="118B7A37" w14:textId="77777777" w:rsidTr="00E92822">
        <w:trPr>
          <w:trHeight w:val="315"/>
        </w:trPr>
        <w:tc>
          <w:tcPr>
            <w:tcW w:w="3174" w:type="dxa"/>
            <w:tcBorders>
              <w:top w:val="nil"/>
              <w:left w:val="single" w:sz="4" w:space="0" w:color="auto"/>
              <w:bottom w:val="single" w:sz="4" w:space="0" w:color="auto"/>
              <w:right w:val="single" w:sz="4" w:space="0" w:color="auto"/>
            </w:tcBorders>
            <w:vAlign w:val="bottom"/>
            <w:hideMark/>
          </w:tcPr>
          <w:p w14:paraId="38EF1D96"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Código ISIN</w:t>
            </w:r>
          </w:p>
        </w:tc>
        <w:tc>
          <w:tcPr>
            <w:tcW w:w="3559" w:type="dxa"/>
            <w:tcBorders>
              <w:top w:val="nil"/>
              <w:left w:val="nil"/>
              <w:bottom w:val="single" w:sz="4" w:space="0" w:color="auto"/>
              <w:right w:val="single" w:sz="4" w:space="0" w:color="auto"/>
            </w:tcBorders>
            <w:vAlign w:val="bottom"/>
            <w:hideMark/>
          </w:tcPr>
          <w:p w14:paraId="484EC940"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CRICE00B0143</w:t>
            </w:r>
          </w:p>
        </w:tc>
      </w:tr>
      <w:tr w:rsidR="00A65F5F" w:rsidRPr="00731155" w14:paraId="4082BD34" w14:textId="77777777" w:rsidTr="00E92822">
        <w:trPr>
          <w:trHeight w:val="315"/>
        </w:trPr>
        <w:tc>
          <w:tcPr>
            <w:tcW w:w="3174" w:type="dxa"/>
            <w:tcBorders>
              <w:top w:val="nil"/>
              <w:left w:val="single" w:sz="4" w:space="0" w:color="auto"/>
              <w:bottom w:val="single" w:sz="4" w:space="0" w:color="auto"/>
              <w:right w:val="single" w:sz="4" w:space="0" w:color="auto"/>
            </w:tcBorders>
            <w:vAlign w:val="bottom"/>
            <w:hideMark/>
          </w:tcPr>
          <w:p w14:paraId="2EDC3AEA"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Nemotécnico</w:t>
            </w:r>
          </w:p>
        </w:tc>
        <w:tc>
          <w:tcPr>
            <w:tcW w:w="3559" w:type="dxa"/>
            <w:tcBorders>
              <w:top w:val="nil"/>
              <w:left w:val="nil"/>
              <w:bottom w:val="single" w:sz="4" w:space="0" w:color="auto"/>
              <w:right w:val="single" w:sz="4" w:space="0" w:color="auto"/>
            </w:tcBorders>
            <w:vAlign w:val="bottom"/>
            <w:hideMark/>
          </w:tcPr>
          <w:p w14:paraId="51CCFFEB"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bic5$</w:t>
            </w:r>
          </w:p>
        </w:tc>
      </w:tr>
      <w:tr w:rsidR="00A65F5F" w:rsidRPr="00731155" w14:paraId="51CC8910" w14:textId="77777777" w:rsidTr="00E92822">
        <w:trPr>
          <w:trHeight w:val="420"/>
        </w:trPr>
        <w:tc>
          <w:tcPr>
            <w:tcW w:w="3174" w:type="dxa"/>
            <w:tcBorders>
              <w:top w:val="nil"/>
              <w:left w:val="single" w:sz="4" w:space="0" w:color="auto"/>
              <w:bottom w:val="single" w:sz="4" w:space="0" w:color="auto"/>
              <w:right w:val="single" w:sz="4" w:space="0" w:color="auto"/>
            </w:tcBorders>
            <w:vAlign w:val="bottom"/>
            <w:hideMark/>
          </w:tcPr>
          <w:p w14:paraId="72A13DC4"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Monto de la emisión y moneda</w:t>
            </w:r>
          </w:p>
        </w:tc>
        <w:tc>
          <w:tcPr>
            <w:tcW w:w="3559" w:type="dxa"/>
            <w:tcBorders>
              <w:top w:val="nil"/>
              <w:left w:val="nil"/>
              <w:bottom w:val="single" w:sz="4" w:space="0" w:color="auto"/>
              <w:right w:val="single" w:sz="4" w:space="0" w:color="auto"/>
            </w:tcBorders>
            <w:vAlign w:val="bottom"/>
            <w:hideMark/>
          </w:tcPr>
          <w:p w14:paraId="2ECB8C27"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$125.000.000 (ciento veinticinco millones de dólares)</w:t>
            </w:r>
          </w:p>
        </w:tc>
      </w:tr>
      <w:tr w:rsidR="00A65F5F" w:rsidRPr="00731155" w14:paraId="0816E443"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2EB2FCEF"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Plazo</w:t>
            </w:r>
          </w:p>
        </w:tc>
        <w:tc>
          <w:tcPr>
            <w:tcW w:w="3559" w:type="dxa"/>
            <w:tcBorders>
              <w:top w:val="nil"/>
              <w:left w:val="nil"/>
              <w:bottom w:val="single" w:sz="4" w:space="0" w:color="auto"/>
              <w:right w:val="single" w:sz="4" w:space="0" w:color="auto"/>
            </w:tcBorders>
            <w:vAlign w:val="bottom"/>
            <w:hideMark/>
          </w:tcPr>
          <w:p w14:paraId="239E39AA"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13 años</w:t>
            </w:r>
          </w:p>
        </w:tc>
      </w:tr>
      <w:tr w:rsidR="00A65F5F" w:rsidRPr="00731155" w14:paraId="7FDEFC3E"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713F85F9"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Fecha de emisión</w:t>
            </w:r>
          </w:p>
        </w:tc>
        <w:tc>
          <w:tcPr>
            <w:tcW w:w="3559" w:type="dxa"/>
            <w:tcBorders>
              <w:top w:val="nil"/>
              <w:left w:val="nil"/>
              <w:bottom w:val="single" w:sz="4" w:space="0" w:color="auto"/>
              <w:right w:val="single" w:sz="4" w:space="0" w:color="auto"/>
            </w:tcBorders>
            <w:vAlign w:val="bottom"/>
            <w:hideMark/>
          </w:tcPr>
          <w:p w14:paraId="2D03A508"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12 de diciembre de 2011</w:t>
            </w:r>
          </w:p>
        </w:tc>
      </w:tr>
      <w:tr w:rsidR="00A65F5F" w:rsidRPr="00731155" w14:paraId="6241E404"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287FDCA6"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Fecha de vencimiento</w:t>
            </w:r>
          </w:p>
        </w:tc>
        <w:tc>
          <w:tcPr>
            <w:tcW w:w="3559" w:type="dxa"/>
            <w:tcBorders>
              <w:top w:val="nil"/>
              <w:left w:val="nil"/>
              <w:bottom w:val="single" w:sz="4" w:space="0" w:color="auto"/>
              <w:right w:val="single" w:sz="4" w:space="0" w:color="auto"/>
            </w:tcBorders>
            <w:vAlign w:val="bottom"/>
            <w:hideMark/>
          </w:tcPr>
          <w:p w14:paraId="4C40852D"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12 de diciembre de 2024</w:t>
            </w:r>
          </w:p>
        </w:tc>
      </w:tr>
      <w:tr w:rsidR="00A65F5F" w:rsidRPr="00731155" w14:paraId="4EA2AB8C"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14D55109"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Tasa de interés bruta</w:t>
            </w:r>
          </w:p>
        </w:tc>
        <w:tc>
          <w:tcPr>
            <w:tcW w:w="3559" w:type="dxa"/>
            <w:tcBorders>
              <w:top w:val="nil"/>
              <w:left w:val="nil"/>
              <w:bottom w:val="single" w:sz="4" w:space="0" w:color="auto"/>
              <w:right w:val="single" w:sz="4" w:space="0" w:color="auto"/>
            </w:tcBorders>
            <w:noWrap/>
            <w:vAlign w:val="bottom"/>
            <w:hideMark/>
          </w:tcPr>
          <w:p w14:paraId="5692891B" w14:textId="77777777" w:rsidR="00A65F5F" w:rsidRPr="00731155" w:rsidRDefault="00A65F5F" w:rsidP="005C24B6">
            <w:pPr>
              <w:ind w:right="0"/>
              <w:jc w:val="left"/>
              <w:rPr>
                <w:color w:val="000000"/>
                <w:sz w:val="18"/>
                <w:szCs w:val="18"/>
                <w:lang w:val="es-CR" w:eastAsia="es-CR"/>
              </w:rPr>
            </w:pPr>
            <w:r w:rsidRPr="00731155">
              <w:rPr>
                <w:color w:val="000000"/>
                <w:sz w:val="18"/>
                <w:szCs w:val="18"/>
                <w:lang w:val="es-CR" w:eastAsia="es-CR"/>
              </w:rPr>
              <w:t xml:space="preserve">7% </w:t>
            </w:r>
            <w:r w:rsidR="002C4467">
              <w:rPr>
                <w:color w:val="000000"/>
                <w:sz w:val="18"/>
                <w:szCs w:val="18"/>
                <w:lang w:val="es-CR" w:eastAsia="es-CR"/>
              </w:rPr>
              <w:t>/ (1-ISR)</w:t>
            </w:r>
          </w:p>
        </w:tc>
      </w:tr>
      <w:tr w:rsidR="00A65F5F" w:rsidRPr="00731155" w14:paraId="0B120347"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519BF26D"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Tasa de interés neta</w:t>
            </w:r>
          </w:p>
        </w:tc>
        <w:tc>
          <w:tcPr>
            <w:tcW w:w="3559" w:type="dxa"/>
            <w:tcBorders>
              <w:top w:val="nil"/>
              <w:left w:val="nil"/>
              <w:bottom w:val="single" w:sz="4" w:space="0" w:color="auto"/>
              <w:right w:val="single" w:sz="4" w:space="0" w:color="auto"/>
            </w:tcBorders>
            <w:noWrap/>
            <w:vAlign w:val="bottom"/>
            <w:hideMark/>
          </w:tcPr>
          <w:p w14:paraId="66B00DE5"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7%</w:t>
            </w:r>
            <w:r w:rsidR="005C24B6">
              <w:rPr>
                <w:color w:val="000000"/>
                <w:sz w:val="18"/>
                <w:szCs w:val="18"/>
                <w:lang w:val="es-CR" w:eastAsia="es-CR"/>
              </w:rPr>
              <w:t xml:space="preserve"> </w:t>
            </w:r>
          </w:p>
        </w:tc>
      </w:tr>
      <w:tr w:rsidR="00A65F5F" w:rsidRPr="00731155" w14:paraId="39939450" w14:textId="77777777" w:rsidTr="00E92822">
        <w:trPr>
          <w:trHeight w:val="300"/>
        </w:trPr>
        <w:tc>
          <w:tcPr>
            <w:tcW w:w="3174" w:type="dxa"/>
            <w:tcBorders>
              <w:top w:val="nil"/>
              <w:left w:val="single" w:sz="4" w:space="0" w:color="auto"/>
              <w:bottom w:val="single" w:sz="4" w:space="0" w:color="auto"/>
              <w:right w:val="single" w:sz="4" w:space="0" w:color="auto"/>
            </w:tcBorders>
            <w:vAlign w:val="bottom"/>
            <w:hideMark/>
          </w:tcPr>
          <w:p w14:paraId="4D1482A6"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Amortización del principal</w:t>
            </w:r>
          </w:p>
        </w:tc>
        <w:tc>
          <w:tcPr>
            <w:tcW w:w="3559" w:type="dxa"/>
            <w:tcBorders>
              <w:top w:val="nil"/>
              <w:left w:val="nil"/>
              <w:bottom w:val="single" w:sz="4" w:space="0" w:color="auto"/>
              <w:right w:val="single" w:sz="4" w:space="0" w:color="auto"/>
            </w:tcBorders>
            <w:noWrap/>
            <w:vAlign w:val="bottom"/>
            <w:hideMark/>
          </w:tcPr>
          <w:p w14:paraId="26E4FB90" w14:textId="77777777" w:rsidR="00A65F5F" w:rsidRPr="00731155" w:rsidRDefault="00A65F5F" w:rsidP="00E92822">
            <w:pPr>
              <w:ind w:right="0"/>
              <w:jc w:val="left"/>
              <w:rPr>
                <w:color w:val="000000"/>
                <w:sz w:val="18"/>
                <w:szCs w:val="18"/>
                <w:lang w:val="es-CR" w:eastAsia="es-CR"/>
              </w:rPr>
            </w:pPr>
            <w:r w:rsidRPr="00731155">
              <w:rPr>
                <w:color w:val="000000"/>
                <w:sz w:val="18"/>
                <w:szCs w:val="18"/>
                <w:lang w:val="es-CR" w:eastAsia="es-CR"/>
              </w:rPr>
              <w:t>Al Vencimiento</w:t>
            </w:r>
          </w:p>
        </w:tc>
      </w:tr>
    </w:tbl>
    <w:p w14:paraId="6DAD8219" w14:textId="77777777" w:rsidR="00A65F5F" w:rsidRDefault="00A65F5F" w:rsidP="00A65F5F">
      <w:pPr>
        <w:jc w:val="center"/>
        <w:rPr>
          <w:u w:val="single"/>
          <w:lang w:val="es-ES"/>
        </w:rPr>
      </w:pPr>
    </w:p>
    <w:p w14:paraId="3464EC66" w14:textId="77777777" w:rsidR="00A65F5F" w:rsidRDefault="00A65F5F" w:rsidP="00A65F5F">
      <w:pPr>
        <w:rPr>
          <w:lang w:val="es-ES"/>
        </w:rPr>
      </w:pPr>
    </w:p>
    <w:p w14:paraId="1ECDCD83" w14:textId="77777777" w:rsidR="00A65F5F" w:rsidRDefault="00A65F5F" w:rsidP="00A65F5F">
      <w:pPr>
        <w:rPr>
          <w:lang w:val="es-ES"/>
        </w:rPr>
      </w:pPr>
    </w:p>
    <w:p w14:paraId="5851E6DE" w14:textId="77777777" w:rsidR="00A65F5F" w:rsidRDefault="00A65F5F" w:rsidP="00A65F5F">
      <w:pPr>
        <w:rPr>
          <w:lang w:val="es-ES"/>
        </w:rPr>
      </w:pPr>
    </w:p>
    <w:p w14:paraId="5912A90A" w14:textId="77777777" w:rsidR="00A65F5F" w:rsidRDefault="00A65F5F" w:rsidP="00A65F5F">
      <w:pPr>
        <w:rPr>
          <w:lang w:val="es-ES"/>
        </w:rPr>
      </w:pPr>
    </w:p>
    <w:p w14:paraId="3BEBCF08" w14:textId="77777777" w:rsidR="00A65F5F" w:rsidRDefault="00A65F5F" w:rsidP="00A65F5F">
      <w:pPr>
        <w:rPr>
          <w:lang w:val="es-ES"/>
        </w:rPr>
      </w:pPr>
    </w:p>
    <w:p w14:paraId="60723D0C" w14:textId="77777777" w:rsidR="00A65F5F" w:rsidRDefault="00A65F5F" w:rsidP="00A65F5F">
      <w:pPr>
        <w:rPr>
          <w:lang w:val="es-ES"/>
        </w:rPr>
      </w:pPr>
    </w:p>
    <w:p w14:paraId="199CD8B8" w14:textId="77777777" w:rsidR="00A65F5F" w:rsidRDefault="00A65F5F" w:rsidP="00A65F5F">
      <w:pPr>
        <w:rPr>
          <w:lang w:val="es-ES"/>
        </w:rPr>
      </w:pPr>
    </w:p>
    <w:p w14:paraId="3132B8C7" w14:textId="77777777" w:rsidR="00A65F5F" w:rsidRDefault="00A65F5F" w:rsidP="00A65F5F">
      <w:pPr>
        <w:rPr>
          <w:lang w:val="es-ES"/>
        </w:rPr>
      </w:pPr>
    </w:p>
    <w:p w14:paraId="01E76B09" w14:textId="77777777" w:rsidR="00A65F5F" w:rsidRDefault="00A65F5F" w:rsidP="00A65F5F">
      <w:pPr>
        <w:rPr>
          <w:lang w:val="es-ES"/>
        </w:rPr>
      </w:pPr>
    </w:p>
    <w:p w14:paraId="2601E959" w14:textId="77777777" w:rsidR="00A65F5F" w:rsidRDefault="00A65F5F" w:rsidP="00A65F5F">
      <w:pPr>
        <w:rPr>
          <w:lang w:val="es-ES"/>
        </w:rPr>
      </w:pPr>
    </w:p>
    <w:p w14:paraId="3261D433" w14:textId="77777777" w:rsidR="00A65F5F" w:rsidRDefault="00A65F5F" w:rsidP="00A65F5F">
      <w:pPr>
        <w:rPr>
          <w:lang w:val="es-ES"/>
        </w:rPr>
      </w:pPr>
    </w:p>
    <w:p w14:paraId="6E168357" w14:textId="77777777" w:rsidR="00A65F5F" w:rsidRDefault="00A65F5F" w:rsidP="00A65F5F">
      <w:pPr>
        <w:rPr>
          <w:lang w:val="es-ES"/>
        </w:rPr>
      </w:pPr>
    </w:p>
    <w:p w14:paraId="70B98023" w14:textId="77777777" w:rsidR="00A65F5F" w:rsidRDefault="00A65F5F" w:rsidP="00A65F5F">
      <w:pPr>
        <w:rPr>
          <w:lang w:val="es-ES"/>
        </w:rPr>
      </w:pPr>
    </w:p>
    <w:p w14:paraId="3E2BDC07" w14:textId="77777777" w:rsidR="00E97E85" w:rsidRDefault="00E97E85" w:rsidP="00A65F5F">
      <w:pPr>
        <w:rPr>
          <w:lang w:val="es-ES"/>
        </w:rPr>
      </w:pPr>
    </w:p>
    <w:p w14:paraId="1775AF56" w14:textId="2B38D40E" w:rsidR="00A65F5F" w:rsidRDefault="00A65F5F" w:rsidP="00A65F5F">
      <w:pPr>
        <w:rPr>
          <w:lang w:val="es-ES"/>
        </w:rPr>
      </w:pPr>
      <w:r>
        <w:rPr>
          <w:lang w:val="es-ES"/>
        </w:rPr>
        <w:t>La serie E2 fue colocada en su totalidad mediante subasta en bolsa en dos tractos.  La primera subasta se realizó el 13 de diciembre del 2011 por un monto de $71.36 millones, y la segunda subasta se realizó el 20 de diciembre del 2011 por un monto de $53.64 millones.</w:t>
      </w:r>
    </w:p>
    <w:p w14:paraId="18D42A05" w14:textId="77777777" w:rsidR="00A65F5F" w:rsidRDefault="00A65F5F" w:rsidP="00A65F5F">
      <w:pPr>
        <w:pStyle w:val="Ttulo3"/>
        <w:numPr>
          <w:ilvl w:val="2"/>
          <w:numId w:val="1"/>
        </w:numPr>
        <w:ind w:left="142" w:hanging="709"/>
        <w:rPr>
          <w:lang w:val="es-ES"/>
        </w:rPr>
      </w:pPr>
      <w:bookmarkStart w:id="131" w:name="_Toc26357109"/>
      <w:bookmarkStart w:id="132" w:name="_Toc138664897"/>
      <w:r>
        <w:rPr>
          <w:lang w:val="es-ES"/>
        </w:rPr>
        <w:t>Series colocadas pertenecientes al Programa F</w:t>
      </w:r>
      <w:bookmarkEnd w:id="131"/>
      <w:bookmarkEnd w:id="132"/>
    </w:p>
    <w:p w14:paraId="1E5CC900" w14:textId="77777777" w:rsidR="00A65F5F" w:rsidRDefault="00A65F5F" w:rsidP="00A65F5F">
      <w:pPr>
        <w:rPr>
          <w:lang w:val="es-ES"/>
        </w:rPr>
      </w:pPr>
    </w:p>
    <w:p w14:paraId="7E628569" w14:textId="77777777" w:rsidR="00A65F5F" w:rsidRDefault="00A65F5F" w:rsidP="00A65F5F">
      <w:pPr>
        <w:pStyle w:val="Ttulo4"/>
        <w:rPr>
          <w:lang w:val="es-ES"/>
        </w:rPr>
      </w:pPr>
      <w:r>
        <w:rPr>
          <w:lang w:val="es-ES"/>
        </w:rPr>
        <w:t>Emisión serie F4</w:t>
      </w:r>
    </w:p>
    <w:p w14:paraId="24A51C1C" w14:textId="77777777" w:rsidR="00A65F5F" w:rsidRDefault="00A65F5F" w:rsidP="00A65F5F">
      <w:pPr>
        <w:rPr>
          <w:lang w:val="es-ES"/>
        </w:rPr>
      </w:pPr>
      <w:r>
        <w:rPr>
          <w:lang w:val="es-ES"/>
        </w:rPr>
        <w:t>La serie F4</w:t>
      </w:r>
      <w:r w:rsidRPr="00747AE6">
        <w:rPr>
          <w:lang w:val="es-ES"/>
        </w:rPr>
        <w:t xml:space="preserve"> fue inscrita con fecha </w:t>
      </w:r>
      <w:r>
        <w:rPr>
          <w:lang w:val="es-ES"/>
        </w:rPr>
        <w:t>06</w:t>
      </w:r>
      <w:r w:rsidRPr="00747AE6">
        <w:rPr>
          <w:lang w:val="es-ES"/>
        </w:rPr>
        <w:t xml:space="preserve"> de </w:t>
      </w:r>
      <w:r>
        <w:rPr>
          <w:lang w:val="es-ES"/>
        </w:rPr>
        <w:t>setiembre</w:t>
      </w:r>
      <w:r w:rsidRPr="00747AE6">
        <w:rPr>
          <w:lang w:val="es-ES"/>
        </w:rPr>
        <w:t xml:space="preserve"> de 201</w:t>
      </w:r>
      <w:r>
        <w:rPr>
          <w:lang w:val="es-ES"/>
        </w:rPr>
        <w:t>2 y</w:t>
      </w:r>
      <w:r w:rsidRPr="00747AE6">
        <w:rPr>
          <w:lang w:val="es-ES"/>
        </w:rPr>
        <w:t xml:space="preserve"> tiene las siguientes características</w:t>
      </w:r>
      <w:r>
        <w:rPr>
          <w:lang w:val="es-ES"/>
        </w:rPr>
        <w:t>:</w:t>
      </w:r>
    </w:p>
    <w:p w14:paraId="6D342786" w14:textId="77777777" w:rsidR="00A65F5F" w:rsidRDefault="00A65F5F" w:rsidP="00A65F5F">
      <w:pPr>
        <w:rPr>
          <w:lang w:val="es-ES"/>
        </w:rPr>
      </w:pPr>
    </w:p>
    <w:tbl>
      <w:tblPr>
        <w:tblW w:w="6820" w:type="dxa"/>
        <w:tblInd w:w="1488" w:type="dxa"/>
        <w:tblCellMar>
          <w:left w:w="70" w:type="dxa"/>
          <w:right w:w="70" w:type="dxa"/>
        </w:tblCellMar>
        <w:tblLook w:val="04A0" w:firstRow="1" w:lastRow="0" w:firstColumn="1" w:lastColumn="0" w:noHBand="0" w:noVBand="1"/>
      </w:tblPr>
      <w:tblGrid>
        <w:gridCol w:w="3260"/>
        <w:gridCol w:w="3560"/>
      </w:tblGrid>
      <w:tr w:rsidR="00A65F5F" w:rsidRPr="004E564F" w14:paraId="3CDE7ECB" w14:textId="77777777" w:rsidTr="00E92822">
        <w:trPr>
          <w:trHeight w:val="285"/>
        </w:trPr>
        <w:tc>
          <w:tcPr>
            <w:tcW w:w="3260" w:type="dxa"/>
            <w:tcBorders>
              <w:top w:val="single" w:sz="4" w:space="0" w:color="auto"/>
              <w:left w:val="single" w:sz="4" w:space="0" w:color="auto"/>
              <w:bottom w:val="single" w:sz="4" w:space="0" w:color="auto"/>
              <w:right w:val="single" w:sz="4" w:space="0" w:color="auto"/>
            </w:tcBorders>
            <w:shd w:val="clear" w:color="000000" w:fill="17375D"/>
            <w:vAlign w:val="bottom"/>
            <w:hideMark/>
          </w:tcPr>
          <w:p w14:paraId="04DD3938" w14:textId="77777777" w:rsidR="00A65F5F" w:rsidRPr="004E564F" w:rsidRDefault="00A65F5F" w:rsidP="00E92822">
            <w:pPr>
              <w:ind w:right="0"/>
              <w:jc w:val="left"/>
              <w:rPr>
                <w:b/>
                <w:bCs/>
                <w:color w:val="FFFFFF"/>
                <w:sz w:val="20"/>
                <w:szCs w:val="20"/>
                <w:lang w:val="es-CR" w:eastAsia="es-CR"/>
              </w:rPr>
            </w:pPr>
            <w:r w:rsidRPr="004E564F">
              <w:rPr>
                <w:b/>
                <w:bCs/>
                <w:color w:val="FFFFFF"/>
                <w:sz w:val="20"/>
                <w:szCs w:val="20"/>
                <w:lang w:val="es-CR" w:eastAsia="es-CR"/>
              </w:rPr>
              <w:t>Clase de instrumento</w:t>
            </w:r>
          </w:p>
        </w:tc>
        <w:tc>
          <w:tcPr>
            <w:tcW w:w="3560" w:type="dxa"/>
            <w:tcBorders>
              <w:top w:val="single" w:sz="4" w:space="0" w:color="auto"/>
              <w:left w:val="nil"/>
              <w:bottom w:val="single" w:sz="4" w:space="0" w:color="auto"/>
              <w:right w:val="single" w:sz="4" w:space="0" w:color="auto"/>
            </w:tcBorders>
            <w:shd w:val="clear" w:color="000000" w:fill="17375D"/>
            <w:vAlign w:val="bottom"/>
            <w:hideMark/>
          </w:tcPr>
          <w:p w14:paraId="35E8BE6F" w14:textId="77777777" w:rsidR="00A65F5F" w:rsidRPr="004E564F" w:rsidRDefault="00A65F5F" w:rsidP="00E92822">
            <w:pPr>
              <w:ind w:right="0"/>
              <w:jc w:val="left"/>
              <w:rPr>
                <w:b/>
                <w:bCs/>
                <w:color w:val="FFFFFF"/>
                <w:sz w:val="20"/>
                <w:szCs w:val="20"/>
                <w:lang w:val="es-CR" w:eastAsia="es-CR"/>
              </w:rPr>
            </w:pPr>
            <w:r w:rsidRPr="004E564F">
              <w:rPr>
                <w:b/>
                <w:bCs/>
                <w:color w:val="FFFFFF"/>
                <w:sz w:val="20"/>
                <w:szCs w:val="20"/>
                <w:lang w:val="es-CR" w:eastAsia="es-CR"/>
              </w:rPr>
              <w:t>Bonos Estandarizados</w:t>
            </w:r>
          </w:p>
        </w:tc>
      </w:tr>
      <w:tr w:rsidR="00A65F5F" w:rsidRPr="004E564F" w14:paraId="086A7D4D" w14:textId="77777777" w:rsidTr="00E92822">
        <w:trPr>
          <w:trHeight w:val="285"/>
        </w:trPr>
        <w:tc>
          <w:tcPr>
            <w:tcW w:w="3260" w:type="dxa"/>
            <w:tcBorders>
              <w:top w:val="nil"/>
              <w:left w:val="single" w:sz="4" w:space="0" w:color="auto"/>
              <w:bottom w:val="single" w:sz="4" w:space="0" w:color="auto"/>
              <w:right w:val="single" w:sz="4" w:space="0" w:color="auto"/>
            </w:tcBorders>
            <w:shd w:val="clear" w:color="000000" w:fill="17375D"/>
            <w:vAlign w:val="bottom"/>
            <w:hideMark/>
          </w:tcPr>
          <w:p w14:paraId="3EB2FCC0" w14:textId="77777777" w:rsidR="00A65F5F" w:rsidRPr="004E564F" w:rsidRDefault="00A65F5F" w:rsidP="00E92822">
            <w:pPr>
              <w:ind w:right="0"/>
              <w:jc w:val="left"/>
              <w:rPr>
                <w:b/>
                <w:bCs/>
                <w:color w:val="FFFFFF"/>
                <w:sz w:val="20"/>
                <w:szCs w:val="20"/>
                <w:lang w:val="es-CR" w:eastAsia="es-CR"/>
              </w:rPr>
            </w:pPr>
            <w:r w:rsidRPr="004E564F">
              <w:rPr>
                <w:b/>
                <w:bCs/>
                <w:color w:val="FFFFFF"/>
                <w:sz w:val="20"/>
                <w:szCs w:val="20"/>
                <w:lang w:val="es-CR" w:eastAsia="es-CR"/>
              </w:rPr>
              <w:t>Nombre de la serie</w:t>
            </w:r>
          </w:p>
        </w:tc>
        <w:tc>
          <w:tcPr>
            <w:tcW w:w="3560" w:type="dxa"/>
            <w:tcBorders>
              <w:top w:val="nil"/>
              <w:left w:val="nil"/>
              <w:bottom w:val="single" w:sz="4" w:space="0" w:color="auto"/>
              <w:right w:val="single" w:sz="4" w:space="0" w:color="auto"/>
            </w:tcBorders>
            <w:shd w:val="clear" w:color="000000" w:fill="17375D"/>
            <w:vAlign w:val="bottom"/>
            <w:hideMark/>
          </w:tcPr>
          <w:p w14:paraId="739724C5" w14:textId="77777777" w:rsidR="00A65F5F" w:rsidRPr="004E564F" w:rsidRDefault="00A65F5F" w:rsidP="00E92822">
            <w:pPr>
              <w:ind w:right="0"/>
              <w:jc w:val="left"/>
              <w:rPr>
                <w:b/>
                <w:bCs/>
                <w:color w:val="FFFFFF"/>
                <w:sz w:val="20"/>
                <w:szCs w:val="20"/>
                <w:lang w:val="es-CR" w:eastAsia="es-CR"/>
              </w:rPr>
            </w:pPr>
            <w:r w:rsidRPr="004E564F">
              <w:rPr>
                <w:b/>
                <w:bCs/>
                <w:color w:val="FFFFFF"/>
                <w:sz w:val="20"/>
                <w:szCs w:val="20"/>
                <w:lang w:val="es-CR" w:eastAsia="es-CR"/>
              </w:rPr>
              <w:t>F4</w:t>
            </w:r>
          </w:p>
        </w:tc>
      </w:tr>
      <w:tr w:rsidR="00A65F5F" w:rsidRPr="004E564F" w14:paraId="4AC28170" w14:textId="77777777" w:rsidTr="00E92822">
        <w:trPr>
          <w:trHeight w:val="285"/>
        </w:trPr>
        <w:tc>
          <w:tcPr>
            <w:tcW w:w="3260" w:type="dxa"/>
            <w:tcBorders>
              <w:top w:val="nil"/>
              <w:left w:val="single" w:sz="4" w:space="0" w:color="auto"/>
              <w:bottom w:val="single" w:sz="4" w:space="0" w:color="auto"/>
              <w:right w:val="single" w:sz="4" w:space="0" w:color="auto"/>
            </w:tcBorders>
            <w:vAlign w:val="bottom"/>
            <w:hideMark/>
          </w:tcPr>
          <w:p w14:paraId="78559D74"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Código ISIN</w:t>
            </w:r>
          </w:p>
        </w:tc>
        <w:tc>
          <w:tcPr>
            <w:tcW w:w="3560" w:type="dxa"/>
            <w:tcBorders>
              <w:top w:val="nil"/>
              <w:left w:val="nil"/>
              <w:bottom w:val="single" w:sz="4" w:space="0" w:color="auto"/>
              <w:right w:val="single" w:sz="4" w:space="0" w:color="auto"/>
            </w:tcBorders>
            <w:vAlign w:val="bottom"/>
            <w:hideMark/>
          </w:tcPr>
          <w:p w14:paraId="07866AF9"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CRICE00B0200</w:t>
            </w:r>
          </w:p>
        </w:tc>
      </w:tr>
      <w:tr w:rsidR="00A65F5F" w:rsidRPr="004E564F" w14:paraId="16B6C51B" w14:textId="77777777" w:rsidTr="00E92822">
        <w:trPr>
          <w:trHeight w:val="285"/>
        </w:trPr>
        <w:tc>
          <w:tcPr>
            <w:tcW w:w="3260" w:type="dxa"/>
            <w:tcBorders>
              <w:top w:val="nil"/>
              <w:left w:val="single" w:sz="4" w:space="0" w:color="auto"/>
              <w:bottom w:val="single" w:sz="4" w:space="0" w:color="auto"/>
              <w:right w:val="single" w:sz="4" w:space="0" w:color="auto"/>
            </w:tcBorders>
            <w:vAlign w:val="bottom"/>
            <w:hideMark/>
          </w:tcPr>
          <w:p w14:paraId="22EC7B42"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Nemotécnico</w:t>
            </w:r>
          </w:p>
        </w:tc>
        <w:tc>
          <w:tcPr>
            <w:tcW w:w="3560" w:type="dxa"/>
            <w:tcBorders>
              <w:top w:val="nil"/>
              <w:left w:val="nil"/>
              <w:bottom w:val="single" w:sz="4" w:space="0" w:color="auto"/>
              <w:right w:val="single" w:sz="4" w:space="0" w:color="auto"/>
            </w:tcBorders>
            <w:vAlign w:val="bottom"/>
            <w:hideMark/>
          </w:tcPr>
          <w:p w14:paraId="65415716"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bif4$</w:t>
            </w:r>
          </w:p>
        </w:tc>
      </w:tr>
      <w:tr w:rsidR="00A65F5F" w:rsidRPr="004E564F" w14:paraId="35F24378" w14:textId="77777777" w:rsidTr="00E92822">
        <w:trPr>
          <w:trHeight w:val="285"/>
        </w:trPr>
        <w:tc>
          <w:tcPr>
            <w:tcW w:w="3260" w:type="dxa"/>
            <w:tcBorders>
              <w:top w:val="nil"/>
              <w:left w:val="single" w:sz="4" w:space="0" w:color="auto"/>
              <w:bottom w:val="single" w:sz="4" w:space="0" w:color="auto"/>
              <w:right w:val="single" w:sz="4" w:space="0" w:color="auto"/>
            </w:tcBorders>
            <w:vAlign w:val="bottom"/>
            <w:hideMark/>
          </w:tcPr>
          <w:p w14:paraId="7CB455AD"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Monto de la emisión y moneda</w:t>
            </w:r>
          </w:p>
        </w:tc>
        <w:tc>
          <w:tcPr>
            <w:tcW w:w="3560" w:type="dxa"/>
            <w:tcBorders>
              <w:top w:val="nil"/>
              <w:left w:val="nil"/>
              <w:bottom w:val="single" w:sz="4" w:space="0" w:color="auto"/>
              <w:right w:val="single" w:sz="4" w:space="0" w:color="auto"/>
            </w:tcBorders>
            <w:vAlign w:val="bottom"/>
            <w:hideMark/>
          </w:tcPr>
          <w:p w14:paraId="2D47C8E2"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$1</w:t>
            </w:r>
            <w:r>
              <w:rPr>
                <w:color w:val="000000"/>
                <w:sz w:val="18"/>
                <w:szCs w:val="18"/>
                <w:lang w:val="es-CR" w:eastAsia="es-CR"/>
              </w:rPr>
              <w:t>75</w:t>
            </w:r>
            <w:r w:rsidRPr="004E564F">
              <w:rPr>
                <w:color w:val="000000"/>
                <w:sz w:val="18"/>
                <w:szCs w:val="18"/>
                <w:lang w:val="es-CR" w:eastAsia="es-CR"/>
              </w:rPr>
              <w:t>,</w:t>
            </w:r>
            <w:r>
              <w:rPr>
                <w:color w:val="000000"/>
                <w:sz w:val="18"/>
                <w:szCs w:val="18"/>
                <w:lang w:val="es-CR" w:eastAsia="es-CR"/>
              </w:rPr>
              <w:t>00</w:t>
            </w:r>
            <w:r w:rsidRPr="004E564F">
              <w:rPr>
                <w:color w:val="000000"/>
                <w:sz w:val="18"/>
                <w:szCs w:val="18"/>
                <w:lang w:val="es-CR" w:eastAsia="es-CR"/>
              </w:rPr>
              <w:t>0,000.00</w:t>
            </w:r>
          </w:p>
        </w:tc>
      </w:tr>
      <w:tr w:rsidR="00A65F5F" w:rsidRPr="004E564F" w14:paraId="39395642" w14:textId="77777777" w:rsidTr="00E92822">
        <w:trPr>
          <w:trHeight w:val="285"/>
        </w:trPr>
        <w:tc>
          <w:tcPr>
            <w:tcW w:w="3260" w:type="dxa"/>
            <w:tcBorders>
              <w:top w:val="nil"/>
              <w:left w:val="single" w:sz="4" w:space="0" w:color="auto"/>
              <w:bottom w:val="single" w:sz="4" w:space="0" w:color="auto"/>
              <w:right w:val="single" w:sz="4" w:space="0" w:color="auto"/>
            </w:tcBorders>
            <w:vAlign w:val="bottom"/>
            <w:hideMark/>
          </w:tcPr>
          <w:p w14:paraId="2A13235E"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Plazo</w:t>
            </w:r>
          </w:p>
        </w:tc>
        <w:tc>
          <w:tcPr>
            <w:tcW w:w="3560" w:type="dxa"/>
            <w:tcBorders>
              <w:top w:val="nil"/>
              <w:left w:val="nil"/>
              <w:bottom w:val="single" w:sz="4" w:space="0" w:color="auto"/>
              <w:right w:val="single" w:sz="4" w:space="0" w:color="auto"/>
            </w:tcBorders>
            <w:vAlign w:val="bottom"/>
            <w:hideMark/>
          </w:tcPr>
          <w:p w14:paraId="3B409FA5"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15 años</w:t>
            </w:r>
          </w:p>
        </w:tc>
      </w:tr>
      <w:tr w:rsidR="00A65F5F" w:rsidRPr="004E564F" w14:paraId="0FD9FC17" w14:textId="77777777" w:rsidTr="00E92822">
        <w:trPr>
          <w:trHeight w:val="300"/>
        </w:trPr>
        <w:tc>
          <w:tcPr>
            <w:tcW w:w="3260" w:type="dxa"/>
            <w:tcBorders>
              <w:top w:val="nil"/>
              <w:left w:val="single" w:sz="4" w:space="0" w:color="auto"/>
              <w:bottom w:val="single" w:sz="4" w:space="0" w:color="auto"/>
              <w:right w:val="single" w:sz="4" w:space="0" w:color="auto"/>
            </w:tcBorders>
            <w:vAlign w:val="bottom"/>
            <w:hideMark/>
          </w:tcPr>
          <w:p w14:paraId="67AEE93B"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Fecha de emisión</w:t>
            </w:r>
          </w:p>
        </w:tc>
        <w:tc>
          <w:tcPr>
            <w:tcW w:w="3560" w:type="dxa"/>
            <w:tcBorders>
              <w:top w:val="nil"/>
              <w:left w:val="nil"/>
              <w:bottom w:val="single" w:sz="4" w:space="0" w:color="auto"/>
              <w:right w:val="single" w:sz="4" w:space="0" w:color="auto"/>
            </w:tcBorders>
            <w:noWrap/>
            <w:vAlign w:val="bottom"/>
            <w:hideMark/>
          </w:tcPr>
          <w:p w14:paraId="3C3672AC"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07 de setiembre del 2012</w:t>
            </w:r>
          </w:p>
        </w:tc>
      </w:tr>
      <w:tr w:rsidR="00A65F5F" w:rsidRPr="004E564F" w14:paraId="7145C0B1" w14:textId="77777777" w:rsidTr="00E92822">
        <w:trPr>
          <w:trHeight w:val="300"/>
        </w:trPr>
        <w:tc>
          <w:tcPr>
            <w:tcW w:w="3260" w:type="dxa"/>
            <w:tcBorders>
              <w:top w:val="nil"/>
              <w:left w:val="single" w:sz="4" w:space="0" w:color="auto"/>
              <w:bottom w:val="single" w:sz="4" w:space="0" w:color="auto"/>
              <w:right w:val="single" w:sz="4" w:space="0" w:color="auto"/>
            </w:tcBorders>
            <w:vAlign w:val="bottom"/>
            <w:hideMark/>
          </w:tcPr>
          <w:p w14:paraId="38A8BC66"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Fecha de vencimiento</w:t>
            </w:r>
          </w:p>
        </w:tc>
        <w:tc>
          <w:tcPr>
            <w:tcW w:w="3560" w:type="dxa"/>
            <w:tcBorders>
              <w:top w:val="nil"/>
              <w:left w:val="nil"/>
              <w:bottom w:val="single" w:sz="4" w:space="0" w:color="auto"/>
              <w:right w:val="single" w:sz="4" w:space="0" w:color="auto"/>
            </w:tcBorders>
            <w:noWrap/>
            <w:vAlign w:val="bottom"/>
            <w:hideMark/>
          </w:tcPr>
          <w:p w14:paraId="3C5057D1"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07 de setiembre del 2027</w:t>
            </w:r>
          </w:p>
        </w:tc>
      </w:tr>
      <w:tr w:rsidR="00A65F5F" w:rsidRPr="004E564F" w14:paraId="083CBCE1" w14:textId="77777777" w:rsidTr="00E92822">
        <w:trPr>
          <w:trHeight w:val="300"/>
        </w:trPr>
        <w:tc>
          <w:tcPr>
            <w:tcW w:w="3260" w:type="dxa"/>
            <w:tcBorders>
              <w:top w:val="nil"/>
              <w:left w:val="single" w:sz="4" w:space="0" w:color="auto"/>
              <w:bottom w:val="single" w:sz="4" w:space="0" w:color="auto"/>
              <w:right w:val="single" w:sz="4" w:space="0" w:color="auto"/>
            </w:tcBorders>
            <w:vAlign w:val="bottom"/>
            <w:hideMark/>
          </w:tcPr>
          <w:p w14:paraId="1BFE495A"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 xml:space="preserve">Tasa de interés bruta </w:t>
            </w:r>
          </w:p>
        </w:tc>
        <w:tc>
          <w:tcPr>
            <w:tcW w:w="3560" w:type="dxa"/>
            <w:tcBorders>
              <w:top w:val="nil"/>
              <w:left w:val="nil"/>
              <w:bottom w:val="single" w:sz="4" w:space="0" w:color="auto"/>
              <w:right w:val="single" w:sz="4" w:space="0" w:color="auto"/>
            </w:tcBorders>
            <w:noWrap/>
            <w:vAlign w:val="bottom"/>
            <w:hideMark/>
          </w:tcPr>
          <w:p w14:paraId="0550CFB3"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7,61%</w:t>
            </w:r>
          </w:p>
        </w:tc>
      </w:tr>
      <w:tr w:rsidR="00A65F5F" w:rsidRPr="004E564F" w14:paraId="7606BC3E" w14:textId="77777777" w:rsidTr="00E92822">
        <w:trPr>
          <w:trHeight w:val="525"/>
        </w:trPr>
        <w:tc>
          <w:tcPr>
            <w:tcW w:w="3260" w:type="dxa"/>
            <w:tcBorders>
              <w:top w:val="nil"/>
              <w:left w:val="single" w:sz="4" w:space="0" w:color="auto"/>
              <w:bottom w:val="single" w:sz="4" w:space="0" w:color="auto"/>
              <w:right w:val="single" w:sz="4" w:space="0" w:color="auto"/>
            </w:tcBorders>
            <w:vAlign w:val="bottom"/>
            <w:hideMark/>
          </w:tcPr>
          <w:p w14:paraId="1D26B5B8"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 xml:space="preserve">Tasa de interés neta </w:t>
            </w:r>
          </w:p>
        </w:tc>
        <w:tc>
          <w:tcPr>
            <w:tcW w:w="3560" w:type="dxa"/>
            <w:tcBorders>
              <w:top w:val="nil"/>
              <w:left w:val="nil"/>
              <w:bottom w:val="single" w:sz="4" w:space="0" w:color="auto"/>
              <w:right w:val="single" w:sz="4" w:space="0" w:color="auto"/>
            </w:tcBorders>
            <w:vAlign w:val="bottom"/>
            <w:hideMark/>
          </w:tcPr>
          <w:p w14:paraId="71160D3C"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Tasa Bruta menos el Impuesto sobre la Renta</w:t>
            </w:r>
          </w:p>
        </w:tc>
      </w:tr>
      <w:tr w:rsidR="00A65F5F" w:rsidRPr="004E564F" w14:paraId="0D6E06A2" w14:textId="77777777" w:rsidTr="00E92822">
        <w:trPr>
          <w:trHeight w:val="300"/>
        </w:trPr>
        <w:tc>
          <w:tcPr>
            <w:tcW w:w="3260" w:type="dxa"/>
            <w:tcBorders>
              <w:top w:val="nil"/>
              <w:left w:val="single" w:sz="4" w:space="0" w:color="auto"/>
              <w:bottom w:val="single" w:sz="4" w:space="0" w:color="auto"/>
              <w:right w:val="single" w:sz="4" w:space="0" w:color="auto"/>
            </w:tcBorders>
            <w:vAlign w:val="bottom"/>
            <w:hideMark/>
          </w:tcPr>
          <w:p w14:paraId="7B7083B1" w14:textId="77777777" w:rsidR="00A65F5F" w:rsidRPr="004E564F" w:rsidRDefault="00A65F5F" w:rsidP="00E92822">
            <w:pPr>
              <w:ind w:right="0"/>
              <w:jc w:val="left"/>
              <w:rPr>
                <w:color w:val="000000"/>
                <w:sz w:val="20"/>
                <w:szCs w:val="20"/>
                <w:lang w:val="es-CR" w:eastAsia="es-CR"/>
              </w:rPr>
            </w:pPr>
            <w:r w:rsidRPr="004E564F">
              <w:rPr>
                <w:color w:val="000000"/>
                <w:sz w:val="20"/>
                <w:szCs w:val="20"/>
                <w:lang w:val="es-CR" w:eastAsia="es-CR"/>
              </w:rPr>
              <w:t>Amortización del principal</w:t>
            </w:r>
          </w:p>
        </w:tc>
        <w:tc>
          <w:tcPr>
            <w:tcW w:w="3560" w:type="dxa"/>
            <w:tcBorders>
              <w:top w:val="nil"/>
              <w:left w:val="nil"/>
              <w:bottom w:val="single" w:sz="4" w:space="0" w:color="auto"/>
              <w:right w:val="single" w:sz="4" w:space="0" w:color="auto"/>
            </w:tcBorders>
            <w:noWrap/>
            <w:vAlign w:val="bottom"/>
            <w:hideMark/>
          </w:tcPr>
          <w:p w14:paraId="2679102B" w14:textId="77777777" w:rsidR="00A65F5F" w:rsidRPr="004E564F" w:rsidRDefault="00A65F5F" w:rsidP="00E92822">
            <w:pPr>
              <w:ind w:right="0"/>
              <w:jc w:val="left"/>
              <w:rPr>
                <w:color w:val="000000"/>
                <w:sz w:val="18"/>
                <w:szCs w:val="18"/>
                <w:lang w:val="es-CR" w:eastAsia="es-CR"/>
              </w:rPr>
            </w:pPr>
            <w:r w:rsidRPr="004E564F">
              <w:rPr>
                <w:color w:val="000000"/>
                <w:sz w:val="18"/>
                <w:szCs w:val="18"/>
                <w:lang w:val="es-CR" w:eastAsia="es-CR"/>
              </w:rPr>
              <w:t>Al Vencimiento</w:t>
            </w:r>
          </w:p>
        </w:tc>
      </w:tr>
    </w:tbl>
    <w:p w14:paraId="36213CEB" w14:textId="7C85352B" w:rsidR="00A65F5F" w:rsidRDefault="00A65F5F" w:rsidP="00A65F5F">
      <w:pPr>
        <w:rPr>
          <w:lang w:val="es-ES"/>
        </w:rPr>
      </w:pPr>
      <w:r>
        <w:rPr>
          <w:lang w:val="es-ES"/>
        </w:rPr>
        <w:t>La serie F4 fue colocada parcialmente mediante subasta el día 07 de setiembre del 2012 por $125 millones, y el 14 de setiembre del 2012 por $</w:t>
      </w:r>
      <w:r w:rsidR="002C4467">
        <w:rPr>
          <w:lang w:val="es-ES"/>
        </w:rPr>
        <w:t>50</w:t>
      </w:r>
      <w:r>
        <w:rPr>
          <w:lang w:val="es-ES"/>
        </w:rPr>
        <w:t xml:space="preserve"> millones, quedando un saldo pendiente por colocar de $23.4 millones.  La Superintendencia autorizó mediante resolución SGV-R-2733 del 25 de octubre del 2012 un aumento de $23.4 millones en esta serie pasando de $175 millones a $198.4 millones, manteniéndose invariables las demás características de dicha emisión.  Sin embargo, al vencimiento del plazo de dicha serie no se colocó el remanente de $23.4 millones por lo que la misma quedó con un monto de emisión de $175,000,000.00.   Lo anterior con el fin de completar la estructuración del Programa F.</w:t>
      </w:r>
    </w:p>
    <w:p w14:paraId="1D55AF61" w14:textId="1F58AB12" w:rsidR="00081293" w:rsidRDefault="00081293" w:rsidP="00A65F5F">
      <w:pPr>
        <w:rPr>
          <w:lang w:val="es-ES"/>
        </w:rPr>
      </w:pPr>
    </w:p>
    <w:p w14:paraId="02BFD737" w14:textId="69F5BEE3" w:rsidR="00081293" w:rsidRDefault="00081293" w:rsidP="00081293">
      <w:pPr>
        <w:pStyle w:val="Ttulo3"/>
        <w:numPr>
          <w:ilvl w:val="2"/>
          <w:numId w:val="1"/>
        </w:numPr>
        <w:ind w:left="142" w:hanging="709"/>
        <w:rPr>
          <w:lang w:val="es-ES"/>
        </w:rPr>
      </w:pPr>
      <w:bookmarkStart w:id="133" w:name="_Toc138664898"/>
      <w:r>
        <w:rPr>
          <w:lang w:val="es-ES"/>
        </w:rPr>
        <w:t>Series colocadas pertenecientes al Programa G</w:t>
      </w:r>
      <w:bookmarkEnd w:id="133"/>
    </w:p>
    <w:p w14:paraId="734A0F0B" w14:textId="32553021" w:rsidR="002A496E" w:rsidRDefault="002A496E" w:rsidP="002A496E">
      <w:pPr>
        <w:pStyle w:val="Ttulo4"/>
        <w:rPr>
          <w:lang w:val="es-ES"/>
        </w:rPr>
      </w:pPr>
      <w:r>
        <w:rPr>
          <w:lang w:val="es-ES"/>
        </w:rPr>
        <w:t>Emisión serie G1</w:t>
      </w:r>
    </w:p>
    <w:p w14:paraId="2786A2E0" w14:textId="2C069514" w:rsidR="002A496E" w:rsidRDefault="002A496E" w:rsidP="002A496E">
      <w:pPr>
        <w:rPr>
          <w:lang w:val="es-ES"/>
        </w:rPr>
      </w:pPr>
      <w:r>
        <w:rPr>
          <w:lang w:val="es-ES"/>
        </w:rPr>
        <w:t>La serie G1</w:t>
      </w:r>
      <w:r w:rsidRPr="00747AE6">
        <w:rPr>
          <w:lang w:val="es-ES"/>
        </w:rPr>
        <w:t xml:space="preserve"> fue inscrita con fecha </w:t>
      </w:r>
      <w:r>
        <w:rPr>
          <w:lang w:val="es-ES"/>
        </w:rPr>
        <w:t>20</w:t>
      </w:r>
      <w:r w:rsidRPr="00747AE6">
        <w:rPr>
          <w:lang w:val="es-ES"/>
        </w:rPr>
        <w:t xml:space="preserve"> de </w:t>
      </w:r>
      <w:r>
        <w:rPr>
          <w:lang w:val="es-ES"/>
        </w:rPr>
        <w:t>octubre</w:t>
      </w:r>
      <w:r w:rsidRPr="00747AE6">
        <w:rPr>
          <w:lang w:val="es-ES"/>
        </w:rPr>
        <w:t xml:space="preserve"> de 20</w:t>
      </w:r>
      <w:r>
        <w:rPr>
          <w:lang w:val="es-ES"/>
        </w:rPr>
        <w:t>20 y</w:t>
      </w:r>
      <w:r w:rsidRPr="00747AE6">
        <w:rPr>
          <w:lang w:val="es-ES"/>
        </w:rPr>
        <w:t xml:space="preserve"> tiene las siguientes características</w:t>
      </w:r>
      <w:r>
        <w:rPr>
          <w:lang w:val="es-ES"/>
        </w:rPr>
        <w:t>:</w:t>
      </w:r>
    </w:p>
    <w:p w14:paraId="1391DFA8" w14:textId="6498FC78" w:rsidR="002A496E" w:rsidRDefault="002A496E" w:rsidP="002A496E">
      <w:pPr>
        <w:rPr>
          <w:lang w:val="es-ES"/>
        </w:rPr>
      </w:pPr>
    </w:p>
    <w:p w14:paraId="66F33CD2" w14:textId="12376AE7" w:rsidR="002A496E" w:rsidRDefault="002A496E" w:rsidP="002A496E">
      <w:pPr>
        <w:rPr>
          <w:lang w:val="es-ES"/>
        </w:rPr>
      </w:pPr>
    </w:p>
    <w:p w14:paraId="730CDC15" w14:textId="3D37FA44" w:rsidR="002A496E" w:rsidRDefault="002A496E" w:rsidP="00B622C9">
      <w:pPr>
        <w:jc w:val="center"/>
        <w:rPr>
          <w:lang w:val="es-ES"/>
        </w:rPr>
      </w:pPr>
      <w:r w:rsidRPr="002A496E">
        <w:rPr>
          <w:noProof/>
          <w:lang w:val="es-CR" w:eastAsia="es-CR"/>
        </w:rPr>
        <w:drawing>
          <wp:inline distT="0" distB="0" distL="0" distR="0" wp14:anchorId="332FF68B" wp14:editId="532B3FB6">
            <wp:extent cx="3800475" cy="21907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2190750"/>
                    </a:xfrm>
                    <a:prstGeom prst="rect">
                      <a:avLst/>
                    </a:prstGeom>
                    <a:noFill/>
                    <a:ln>
                      <a:noFill/>
                    </a:ln>
                  </pic:spPr>
                </pic:pic>
              </a:graphicData>
            </a:graphic>
          </wp:inline>
        </w:drawing>
      </w:r>
    </w:p>
    <w:p w14:paraId="478E9C30" w14:textId="77777777" w:rsidR="00A672DF" w:rsidRDefault="00A672DF" w:rsidP="00A65F5F">
      <w:pPr>
        <w:rPr>
          <w:lang w:val="es-ES"/>
        </w:rPr>
      </w:pPr>
    </w:p>
    <w:p w14:paraId="27A78ED5" w14:textId="6C3CD258" w:rsidR="00081293" w:rsidRDefault="002A496E" w:rsidP="00A65F5F">
      <w:pPr>
        <w:rPr>
          <w:lang w:val="es-ES"/>
        </w:rPr>
      </w:pPr>
      <w:r>
        <w:rPr>
          <w:lang w:val="es-ES"/>
        </w:rPr>
        <w:t>La serie G1 fue colocada</w:t>
      </w:r>
      <w:r w:rsidR="006F7C49">
        <w:rPr>
          <w:lang w:val="es-ES"/>
        </w:rPr>
        <w:t xml:space="preserve"> parcialmente mediante subasta el día 10 de noviembre de 2020 por un monto de ¢</w:t>
      </w:r>
      <w:r w:rsidR="006D37CD">
        <w:rPr>
          <w:lang w:val="es-ES"/>
        </w:rPr>
        <w:t>2</w:t>
      </w:r>
      <w:r w:rsidR="006F7C49">
        <w:rPr>
          <w:lang w:val="es-ES"/>
        </w:rPr>
        <w:t>,</w:t>
      </w:r>
      <w:r w:rsidR="006D37CD">
        <w:rPr>
          <w:lang w:val="es-ES"/>
        </w:rPr>
        <w:t>715</w:t>
      </w:r>
      <w:r w:rsidR="006F7C49">
        <w:rPr>
          <w:lang w:val="es-ES"/>
        </w:rPr>
        <w:t>,000,000</w:t>
      </w:r>
      <w:r w:rsidR="00A37899">
        <w:rPr>
          <w:lang w:val="es-ES"/>
        </w:rPr>
        <w:t>,</w:t>
      </w:r>
      <w:r w:rsidR="006F7C49">
        <w:rPr>
          <w:lang w:val="es-ES"/>
        </w:rPr>
        <w:t xml:space="preserve">  subasta el día 24 de marzo de 2021 por un monto de ¢</w:t>
      </w:r>
      <w:r w:rsidR="006D37CD">
        <w:rPr>
          <w:lang w:val="es-ES"/>
        </w:rPr>
        <w:t>4,650,000,000</w:t>
      </w:r>
      <w:r w:rsidR="00A37899">
        <w:rPr>
          <w:lang w:val="es-ES"/>
        </w:rPr>
        <w:t xml:space="preserve">, </w:t>
      </w:r>
      <w:r w:rsidR="0047093A">
        <w:rPr>
          <w:lang w:val="es-ES"/>
        </w:rPr>
        <w:t xml:space="preserve">subasta el día 26 de agosto de 2021 por ¢7,005,000,000 y subasta </w:t>
      </w:r>
      <w:r w:rsidR="00C87D31">
        <w:rPr>
          <w:lang w:val="es-ES"/>
        </w:rPr>
        <w:t>el día 01 de setiembre de 2021 por ¢3,300,000,000</w:t>
      </w:r>
    </w:p>
    <w:p w14:paraId="1C5BBA95" w14:textId="60447982" w:rsidR="00626033" w:rsidRDefault="00626033" w:rsidP="00A65F5F">
      <w:pPr>
        <w:rPr>
          <w:lang w:val="es-ES"/>
        </w:rPr>
      </w:pPr>
    </w:p>
    <w:p w14:paraId="3F463282" w14:textId="734EE845" w:rsidR="00626033" w:rsidRDefault="00626033" w:rsidP="00626033">
      <w:pPr>
        <w:pStyle w:val="Ttulo4"/>
        <w:rPr>
          <w:lang w:val="es-ES"/>
        </w:rPr>
      </w:pPr>
      <w:r>
        <w:rPr>
          <w:lang w:val="es-ES"/>
        </w:rPr>
        <w:t>Emisión serie G2</w:t>
      </w:r>
    </w:p>
    <w:p w14:paraId="030C8511" w14:textId="3420DE4F" w:rsidR="00626033" w:rsidRDefault="00626033" w:rsidP="00626033">
      <w:pPr>
        <w:rPr>
          <w:lang w:val="es-ES"/>
        </w:rPr>
      </w:pPr>
      <w:r>
        <w:rPr>
          <w:lang w:val="es-ES"/>
        </w:rPr>
        <w:t>La serie G2</w:t>
      </w:r>
      <w:r w:rsidRPr="00747AE6">
        <w:rPr>
          <w:lang w:val="es-ES"/>
        </w:rPr>
        <w:t xml:space="preserve"> fue inscrita con fecha </w:t>
      </w:r>
      <w:r>
        <w:rPr>
          <w:lang w:val="es-ES"/>
        </w:rPr>
        <w:t>20</w:t>
      </w:r>
      <w:r w:rsidRPr="00747AE6">
        <w:rPr>
          <w:lang w:val="es-ES"/>
        </w:rPr>
        <w:t xml:space="preserve"> de </w:t>
      </w:r>
      <w:r>
        <w:rPr>
          <w:lang w:val="es-ES"/>
        </w:rPr>
        <w:t>octubre</w:t>
      </w:r>
      <w:r w:rsidRPr="00747AE6">
        <w:rPr>
          <w:lang w:val="es-ES"/>
        </w:rPr>
        <w:t xml:space="preserve"> de 20</w:t>
      </w:r>
      <w:r>
        <w:rPr>
          <w:lang w:val="es-ES"/>
        </w:rPr>
        <w:t>20 y</w:t>
      </w:r>
      <w:r w:rsidRPr="00747AE6">
        <w:rPr>
          <w:lang w:val="es-ES"/>
        </w:rPr>
        <w:t xml:space="preserve"> tiene las siguientes características</w:t>
      </w:r>
      <w:r>
        <w:rPr>
          <w:lang w:val="es-ES"/>
        </w:rPr>
        <w:t>:</w:t>
      </w:r>
    </w:p>
    <w:p w14:paraId="31D0503D" w14:textId="77777777" w:rsidR="004C5EA9" w:rsidRDefault="004C5EA9" w:rsidP="00626033">
      <w:pPr>
        <w:rPr>
          <w:lang w:val="es-ES"/>
        </w:rPr>
      </w:pPr>
    </w:p>
    <w:p w14:paraId="3F0F5D3E" w14:textId="77777777" w:rsidR="004C5EA9" w:rsidRDefault="004C5EA9" w:rsidP="00626033">
      <w:pPr>
        <w:rPr>
          <w:lang w:val="es-ES"/>
        </w:rPr>
      </w:pPr>
    </w:p>
    <w:p w14:paraId="28E18F61" w14:textId="77777777" w:rsidR="004C5EA9" w:rsidRDefault="004C5EA9" w:rsidP="00626033">
      <w:pPr>
        <w:rPr>
          <w:lang w:val="es-ES"/>
        </w:rPr>
      </w:pPr>
    </w:p>
    <w:p w14:paraId="6C260F46" w14:textId="77777777" w:rsidR="004C5EA9" w:rsidRDefault="004C5EA9" w:rsidP="00626033">
      <w:pPr>
        <w:rPr>
          <w:lang w:val="es-ES"/>
        </w:rPr>
      </w:pPr>
    </w:p>
    <w:p w14:paraId="22EAD2B1" w14:textId="77777777" w:rsidR="004C5EA9" w:rsidRDefault="004C5EA9" w:rsidP="00626033">
      <w:pPr>
        <w:rPr>
          <w:lang w:val="es-ES"/>
        </w:rPr>
      </w:pPr>
    </w:p>
    <w:p w14:paraId="19554DBC" w14:textId="77777777" w:rsidR="004C5EA9" w:rsidRDefault="004C5EA9" w:rsidP="00626033">
      <w:pPr>
        <w:rPr>
          <w:lang w:val="es-ES"/>
        </w:rPr>
      </w:pPr>
    </w:p>
    <w:tbl>
      <w:tblPr>
        <w:tblW w:w="5980" w:type="dxa"/>
        <w:jc w:val="center"/>
        <w:tblCellMar>
          <w:left w:w="70" w:type="dxa"/>
          <w:right w:w="70" w:type="dxa"/>
        </w:tblCellMar>
        <w:tblLook w:val="04A0" w:firstRow="1" w:lastRow="0" w:firstColumn="1" w:lastColumn="0" w:noHBand="0" w:noVBand="1"/>
      </w:tblPr>
      <w:tblGrid>
        <w:gridCol w:w="2960"/>
        <w:gridCol w:w="3020"/>
      </w:tblGrid>
      <w:tr w:rsidR="00B338E8" w:rsidRPr="00B338E8" w14:paraId="5C3A8C75" w14:textId="77777777" w:rsidTr="00BA08EC">
        <w:trPr>
          <w:trHeight w:val="300"/>
          <w:jc w:val="center"/>
        </w:trPr>
        <w:tc>
          <w:tcPr>
            <w:tcW w:w="2960" w:type="dxa"/>
            <w:tcBorders>
              <w:top w:val="single" w:sz="4" w:space="0" w:color="auto"/>
              <w:left w:val="single" w:sz="4" w:space="0" w:color="auto"/>
              <w:bottom w:val="single" w:sz="4" w:space="0" w:color="auto"/>
              <w:right w:val="single" w:sz="4" w:space="0" w:color="auto"/>
            </w:tcBorders>
            <w:shd w:val="clear" w:color="000000" w:fill="16365C"/>
            <w:vAlign w:val="bottom"/>
            <w:hideMark/>
          </w:tcPr>
          <w:p w14:paraId="34C93890" w14:textId="77777777" w:rsidR="00B338E8" w:rsidRPr="00B338E8" w:rsidRDefault="00B338E8" w:rsidP="00B338E8">
            <w:pPr>
              <w:ind w:right="0"/>
              <w:jc w:val="left"/>
              <w:rPr>
                <w:b/>
                <w:bCs/>
                <w:color w:val="FFFFFF"/>
                <w:sz w:val="20"/>
                <w:szCs w:val="20"/>
                <w:lang w:val="es-CR" w:eastAsia="es-CR"/>
              </w:rPr>
            </w:pPr>
            <w:r w:rsidRPr="00B338E8">
              <w:rPr>
                <w:b/>
                <w:bCs/>
                <w:color w:val="FFFFFF"/>
                <w:sz w:val="20"/>
                <w:szCs w:val="20"/>
                <w:lang w:val="es-CR" w:eastAsia="es-CR"/>
              </w:rPr>
              <w:t>Clase de instrumento</w:t>
            </w:r>
          </w:p>
        </w:tc>
        <w:tc>
          <w:tcPr>
            <w:tcW w:w="3020" w:type="dxa"/>
            <w:tcBorders>
              <w:top w:val="single" w:sz="4" w:space="0" w:color="auto"/>
              <w:left w:val="nil"/>
              <w:bottom w:val="single" w:sz="4" w:space="0" w:color="auto"/>
              <w:right w:val="single" w:sz="4" w:space="0" w:color="auto"/>
            </w:tcBorders>
            <w:shd w:val="clear" w:color="000000" w:fill="16365C"/>
            <w:vAlign w:val="bottom"/>
            <w:hideMark/>
          </w:tcPr>
          <w:p w14:paraId="268BCCBF" w14:textId="77777777" w:rsidR="00B338E8" w:rsidRPr="00B338E8" w:rsidRDefault="00B338E8" w:rsidP="00B338E8">
            <w:pPr>
              <w:ind w:right="0"/>
              <w:jc w:val="left"/>
              <w:rPr>
                <w:b/>
                <w:bCs/>
                <w:color w:val="FFFFFF"/>
                <w:sz w:val="20"/>
                <w:szCs w:val="20"/>
                <w:lang w:val="es-CR" w:eastAsia="es-CR"/>
              </w:rPr>
            </w:pPr>
            <w:r w:rsidRPr="00B338E8">
              <w:rPr>
                <w:b/>
                <w:bCs/>
                <w:color w:val="FFFFFF"/>
                <w:sz w:val="20"/>
                <w:szCs w:val="20"/>
                <w:lang w:val="es-CR" w:eastAsia="es-CR"/>
              </w:rPr>
              <w:t>Bonos Estandarizados</w:t>
            </w:r>
          </w:p>
        </w:tc>
      </w:tr>
      <w:tr w:rsidR="00B338E8" w:rsidRPr="00B338E8" w14:paraId="1CD4CE03"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000000" w:fill="16365C"/>
            <w:vAlign w:val="bottom"/>
            <w:hideMark/>
          </w:tcPr>
          <w:p w14:paraId="4D2B52DF" w14:textId="77777777" w:rsidR="00B338E8" w:rsidRPr="00B338E8" w:rsidRDefault="00B338E8" w:rsidP="00B338E8">
            <w:pPr>
              <w:ind w:right="0"/>
              <w:jc w:val="left"/>
              <w:rPr>
                <w:b/>
                <w:bCs/>
                <w:color w:val="FFFFFF"/>
                <w:sz w:val="20"/>
                <w:szCs w:val="20"/>
                <w:lang w:val="es-CR" w:eastAsia="es-CR"/>
              </w:rPr>
            </w:pPr>
            <w:r w:rsidRPr="00B338E8">
              <w:rPr>
                <w:b/>
                <w:bCs/>
                <w:color w:val="FFFFFF"/>
                <w:sz w:val="20"/>
                <w:szCs w:val="20"/>
                <w:lang w:val="es-CR" w:eastAsia="es-CR"/>
              </w:rPr>
              <w:t>Nombre de la serie</w:t>
            </w:r>
          </w:p>
        </w:tc>
        <w:tc>
          <w:tcPr>
            <w:tcW w:w="3020" w:type="dxa"/>
            <w:tcBorders>
              <w:top w:val="nil"/>
              <w:left w:val="nil"/>
              <w:bottom w:val="single" w:sz="4" w:space="0" w:color="auto"/>
              <w:right w:val="single" w:sz="4" w:space="0" w:color="auto"/>
            </w:tcBorders>
            <w:shd w:val="clear" w:color="000000" w:fill="16365C"/>
            <w:vAlign w:val="bottom"/>
            <w:hideMark/>
          </w:tcPr>
          <w:p w14:paraId="12172435" w14:textId="77777777" w:rsidR="00B338E8" w:rsidRPr="00B338E8" w:rsidRDefault="00B338E8" w:rsidP="00B338E8">
            <w:pPr>
              <w:ind w:right="0"/>
              <w:jc w:val="left"/>
              <w:rPr>
                <w:b/>
                <w:bCs/>
                <w:color w:val="FFFFFF"/>
                <w:sz w:val="20"/>
                <w:szCs w:val="20"/>
                <w:lang w:val="es-CR" w:eastAsia="es-CR"/>
              </w:rPr>
            </w:pPr>
            <w:r w:rsidRPr="00B338E8">
              <w:rPr>
                <w:b/>
                <w:bCs/>
                <w:color w:val="FFFFFF"/>
                <w:sz w:val="20"/>
                <w:szCs w:val="20"/>
                <w:lang w:val="es-CR" w:eastAsia="es-CR"/>
              </w:rPr>
              <w:t>G2</w:t>
            </w:r>
          </w:p>
        </w:tc>
      </w:tr>
      <w:tr w:rsidR="00B338E8" w:rsidRPr="00B338E8" w14:paraId="4570E8D7"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2AF00AE1"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Código ISIN</w:t>
            </w:r>
          </w:p>
        </w:tc>
        <w:tc>
          <w:tcPr>
            <w:tcW w:w="3020" w:type="dxa"/>
            <w:tcBorders>
              <w:top w:val="nil"/>
              <w:left w:val="nil"/>
              <w:bottom w:val="single" w:sz="4" w:space="0" w:color="auto"/>
              <w:right w:val="single" w:sz="4" w:space="0" w:color="auto"/>
            </w:tcBorders>
            <w:shd w:val="clear" w:color="auto" w:fill="auto"/>
            <w:noWrap/>
            <w:vAlign w:val="bottom"/>
            <w:hideMark/>
          </w:tcPr>
          <w:p w14:paraId="55DE1FA5" w14:textId="77777777" w:rsidR="00B338E8" w:rsidRPr="00B338E8" w:rsidRDefault="00B338E8" w:rsidP="00B338E8">
            <w:pPr>
              <w:ind w:right="0"/>
              <w:jc w:val="left"/>
              <w:rPr>
                <w:b/>
                <w:bCs/>
                <w:color w:val="000000"/>
                <w:sz w:val="18"/>
                <w:szCs w:val="18"/>
                <w:lang w:val="es-CR" w:eastAsia="es-CR"/>
              </w:rPr>
            </w:pPr>
            <w:r w:rsidRPr="00B338E8">
              <w:rPr>
                <w:b/>
                <w:bCs/>
                <w:color w:val="000000"/>
                <w:sz w:val="18"/>
                <w:szCs w:val="18"/>
                <w:lang w:val="es-CR" w:eastAsia="es-CR"/>
              </w:rPr>
              <w:t>CRICE00B0234</w:t>
            </w:r>
          </w:p>
        </w:tc>
      </w:tr>
      <w:tr w:rsidR="00B338E8" w:rsidRPr="00B338E8" w14:paraId="5ADD2E5F"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17A1492A"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Nemotécnico</w:t>
            </w:r>
          </w:p>
        </w:tc>
        <w:tc>
          <w:tcPr>
            <w:tcW w:w="3020" w:type="dxa"/>
            <w:tcBorders>
              <w:top w:val="nil"/>
              <w:left w:val="nil"/>
              <w:bottom w:val="single" w:sz="4" w:space="0" w:color="auto"/>
              <w:right w:val="single" w:sz="4" w:space="0" w:color="auto"/>
            </w:tcBorders>
            <w:shd w:val="clear" w:color="auto" w:fill="auto"/>
            <w:noWrap/>
            <w:vAlign w:val="bottom"/>
            <w:hideMark/>
          </w:tcPr>
          <w:p w14:paraId="2180878F" w14:textId="77777777" w:rsidR="00B338E8" w:rsidRPr="00B338E8" w:rsidRDefault="00B338E8" w:rsidP="00B338E8">
            <w:pPr>
              <w:ind w:right="0"/>
              <w:jc w:val="left"/>
              <w:rPr>
                <w:b/>
                <w:bCs/>
                <w:color w:val="000000"/>
                <w:sz w:val="18"/>
                <w:szCs w:val="18"/>
                <w:lang w:val="es-CR" w:eastAsia="es-CR"/>
              </w:rPr>
            </w:pPr>
            <w:r w:rsidRPr="00B338E8">
              <w:rPr>
                <w:b/>
                <w:bCs/>
                <w:color w:val="000000"/>
                <w:sz w:val="18"/>
                <w:szCs w:val="18"/>
                <w:lang w:val="es-CR" w:eastAsia="es-CR"/>
              </w:rPr>
              <w:t>bicg2</w:t>
            </w:r>
          </w:p>
        </w:tc>
      </w:tr>
      <w:tr w:rsidR="00B338E8" w:rsidRPr="00B338E8" w14:paraId="76CB6713"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248DFE7"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Monto de la emisión y moneda</w:t>
            </w:r>
          </w:p>
        </w:tc>
        <w:tc>
          <w:tcPr>
            <w:tcW w:w="3020" w:type="dxa"/>
            <w:tcBorders>
              <w:top w:val="nil"/>
              <w:left w:val="nil"/>
              <w:bottom w:val="single" w:sz="4" w:space="0" w:color="auto"/>
              <w:right w:val="single" w:sz="4" w:space="0" w:color="auto"/>
            </w:tcBorders>
            <w:shd w:val="clear" w:color="auto" w:fill="auto"/>
            <w:noWrap/>
            <w:vAlign w:val="bottom"/>
            <w:hideMark/>
          </w:tcPr>
          <w:p w14:paraId="70C2A89C" w14:textId="77777777" w:rsidR="00B338E8" w:rsidRPr="00B338E8" w:rsidRDefault="00B338E8" w:rsidP="00B338E8">
            <w:pPr>
              <w:ind w:right="0"/>
              <w:jc w:val="left"/>
              <w:rPr>
                <w:color w:val="000000"/>
                <w:sz w:val="18"/>
                <w:szCs w:val="18"/>
                <w:lang w:val="es-CR" w:eastAsia="es-CR"/>
              </w:rPr>
            </w:pPr>
            <w:r w:rsidRPr="00B338E8">
              <w:rPr>
                <w:color w:val="000000"/>
                <w:sz w:val="18"/>
                <w:szCs w:val="18"/>
                <w:lang w:val="es-CR" w:eastAsia="es-CR"/>
              </w:rPr>
              <w:t>₡50,000,000,000.00</w:t>
            </w:r>
          </w:p>
        </w:tc>
      </w:tr>
      <w:tr w:rsidR="00B338E8" w:rsidRPr="00B338E8" w14:paraId="21D70CF2"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43E2E39"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Plazo</w:t>
            </w:r>
          </w:p>
        </w:tc>
        <w:tc>
          <w:tcPr>
            <w:tcW w:w="3020" w:type="dxa"/>
            <w:tcBorders>
              <w:top w:val="nil"/>
              <w:left w:val="nil"/>
              <w:bottom w:val="single" w:sz="4" w:space="0" w:color="auto"/>
              <w:right w:val="single" w:sz="4" w:space="0" w:color="auto"/>
            </w:tcBorders>
            <w:shd w:val="clear" w:color="auto" w:fill="auto"/>
            <w:vAlign w:val="bottom"/>
            <w:hideMark/>
          </w:tcPr>
          <w:p w14:paraId="10803752"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5 años</w:t>
            </w:r>
          </w:p>
        </w:tc>
      </w:tr>
      <w:tr w:rsidR="00B338E8" w:rsidRPr="00B338E8" w14:paraId="4FA7ACE4"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21876AE"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Fecha de emisión</w:t>
            </w:r>
          </w:p>
        </w:tc>
        <w:tc>
          <w:tcPr>
            <w:tcW w:w="3020" w:type="dxa"/>
            <w:tcBorders>
              <w:top w:val="nil"/>
              <w:left w:val="nil"/>
              <w:bottom w:val="single" w:sz="4" w:space="0" w:color="auto"/>
              <w:right w:val="single" w:sz="4" w:space="0" w:color="auto"/>
            </w:tcBorders>
            <w:shd w:val="clear" w:color="auto" w:fill="auto"/>
            <w:noWrap/>
            <w:vAlign w:val="bottom"/>
            <w:hideMark/>
          </w:tcPr>
          <w:p w14:paraId="0F8DD817"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27 de mayo del 2020</w:t>
            </w:r>
          </w:p>
        </w:tc>
      </w:tr>
      <w:tr w:rsidR="00B338E8" w:rsidRPr="00B338E8" w14:paraId="013BB1AC"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EA08C0E"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Fecha de vencimiento</w:t>
            </w:r>
          </w:p>
        </w:tc>
        <w:tc>
          <w:tcPr>
            <w:tcW w:w="3020" w:type="dxa"/>
            <w:tcBorders>
              <w:top w:val="nil"/>
              <w:left w:val="nil"/>
              <w:bottom w:val="single" w:sz="4" w:space="0" w:color="auto"/>
              <w:right w:val="single" w:sz="4" w:space="0" w:color="auto"/>
            </w:tcBorders>
            <w:shd w:val="clear" w:color="auto" w:fill="auto"/>
            <w:noWrap/>
            <w:vAlign w:val="bottom"/>
            <w:hideMark/>
          </w:tcPr>
          <w:p w14:paraId="2029DE23"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27 de mayo del 2025</w:t>
            </w:r>
          </w:p>
        </w:tc>
      </w:tr>
      <w:tr w:rsidR="00B338E8" w:rsidRPr="00B338E8" w14:paraId="08FB0CF7"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A1BB580"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 xml:space="preserve">Tasa de interés bruta </w:t>
            </w:r>
          </w:p>
        </w:tc>
        <w:tc>
          <w:tcPr>
            <w:tcW w:w="3020" w:type="dxa"/>
            <w:tcBorders>
              <w:top w:val="nil"/>
              <w:left w:val="nil"/>
              <w:bottom w:val="single" w:sz="4" w:space="0" w:color="auto"/>
              <w:right w:val="single" w:sz="4" w:space="0" w:color="auto"/>
            </w:tcBorders>
            <w:shd w:val="clear" w:color="auto" w:fill="auto"/>
            <w:noWrap/>
            <w:vAlign w:val="bottom"/>
            <w:hideMark/>
          </w:tcPr>
          <w:p w14:paraId="440EDB2C"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8.63%</w:t>
            </w:r>
          </w:p>
        </w:tc>
      </w:tr>
      <w:tr w:rsidR="00B338E8" w:rsidRPr="00B338E8" w14:paraId="43ECD892" w14:textId="77777777" w:rsidTr="00BA08EC">
        <w:trPr>
          <w:trHeight w:val="52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222D1B60"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 xml:space="preserve">Tasa de interés neta </w:t>
            </w:r>
          </w:p>
        </w:tc>
        <w:tc>
          <w:tcPr>
            <w:tcW w:w="3020" w:type="dxa"/>
            <w:tcBorders>
              <w:top w:val="nil"/>
              <w:left w:val="nil"/>
              <w:bottom w:val="single" w:sz="4" w:space="0" w:color="auto"/>
              <w:right w:val="single" w:sz="4" w:space="0" w:color="auto"/>
            </w:tcBorders>
            <w:shd w:val="clear" w:color="auto" w:fill="auto"/>
            <w:vAlign w:val="bottom"/>
            <w:hideMark/>
          </w:tcPr>
          <w:p w14:paraId="377FFBD4"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Tasa Bruta menos el Impuesto sobre la Renta</w:t>
            </w:r>
          </w:p>
        </w:tc>
      </w:tr>
      <w:tr w:rsidR="00B338E8" w:rsidRPr="00B338E8" w14:paraId="71C225DF" w14:textId="77777777" w:rsidTr="00BA08EC">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03D29BC"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Amortización del principal</w:t>
            </w:r>
          </w:p>
        </w:tc>
        <w:tc>
          <w:tcPr>
            <w:tcW w:w="3020" w:type="dxa"/>
            <w:tcBorders>
              <w:top w:val="nil"/>
              <w:left w:val="nil"/>
              <w:bottom w:val="single" w:sz="4" w:space="0" w:color="auto"/>
              <w:right w:val="single" w:sz="4" w:space="0" w:color="auto"/>
            </w:tcBorders>
            <w:shd w:val="clear" w:color="auto" w:fill="auto"/>
            <w:noWrap/>
            <w:vAlign w:val="bottom"/>
            <w:hideMark/>
          </w:tcPr>
          <w:p w14:paraId="7577032F" w14:textId="77777777" w:rsidR="00B338E8" w:rsidRPr="00B338E8" w:rsidRDefault="00B338E8" w:rsidP="00B338E8">
            <w:pPr>
              <w:ind w:right="0"/>
              <w:jc w:val="left"/>
              <w:rPr>
                <w:color w:val="000000"/>
                <w:sz w:val="20"/>
                <w:szCs w:val="20"/>
                <w:lang w:val="es-CR" w:eastAsia="es-CR"/>
              </w:rPr>
            </w:pPr>
            <w:r w:rsidRPr="00B338E8">
              <w:rPr>
                <w:color w:val="000000"/>
                <w:sz w:val="20"/>
                <w:szCs w:val="20"/>
                <w:lang w:val="es-CR" w:eastAsia="es-CR"/>
              </w:rPr>
              <w:t>Al Vencimiento</w:t>
            </w:r>
          </w:p>
        </w:tc>
      </w:tr>
    </w:tbl>
    <w:p w14:paraId="1DB2A401" w14:textId="77777777" w:rsidR="00B338E8" w:rsidRDefault="00B338E8" w:rsidP="00B338E8">
      <w:pPr>
        <w:rPr>
          <w:lang w:val="es-ES"/>
        </w:rPr>
      </w:pPr>
    </w:p>
    <w:p w14:paraId="3DF66677" w14:textId="42109AFC" w:rsidR="00626033" w:rsidRDefault="00B338E8" w:rsidP="00B338E8">
      <w:pPr>
        <w:rPr>
          <w:lang w:val="es-ES"/>
        </w:rPr>
      </w:pPr>
      <w:r>
        <w:rPr>
          <w:lang w:val="es-ES"/>
        </w:rPr>
        <w:t>La serie G2 fue colocada parcialmente mediante subasta el día 26 de agosto de 2021 por un monto de ¢38,805,000,000</w:t>
      </w:r>
      <w:r w:rsidR="003D0394">
        <w:rPr>
          <w:lang w:val="es-ES"/>
        </w:rPr>
        <w:t xml:space="preserve"> y subasta el día 01 de setiembre de 2021 por ¢9,436,000,000.</w:t>
      </w:r>
    </w:p>
    <w:p w14:paraId="1216801B" w14:textId="6D8286BF" w:rsidR="003D0394" w:rsidRDefault="003D0394" w:rsidP="00B338E8">
      <w:pPr>
        <w:rPr>
          <w:lang w:val="es-ES"/>
        </w:rPr>
      </w:pPr>
    </w:p>
    <w:p w14:paraId="14EB5F6D" w14:textId="7B7E3381" w:rsidR="003D0394" w:rsidRDefault="003D0394" w:rsidP="003D0394">
      <w:pPr>
        <w:pStyle w:val="Ttulo4"/>
        <w:rPr>
          <w:lang w:val="es-ES"/>
        </w:rPr>
      </w:pPr>
      <w:r>
        <w:rPr>
          <w:lang w:val="es-ES"/>
        </w:rPr>
        <w:t>Emisión serie G3</w:t>
      </w:r>
      <w:r w:rsidR="00B637B0">
        <w:rPr>
          <w:lang w:val="es-ES"/>
        </w:rPr>
        <w:t>V</w:t>
      </w:r>
    </w:p>
    <w:p w14:paraId="24B89D9C" w14:textId="5AF13951" w:rsidR="003D0394" w:rsidRDefault="003D0394" w:rsidP="003D0394">
      <w:pPr>
        <w:rPr>
          <w:lang w:val="es-ES"/>
        </w:rPr>
      </w:pPr>
      <w:r>
        <w:rPr>
          <w:lang w:val="es-ES"/>
        </w:rPr>
        <w:t>La serie G</w:t>
      </w:r>
      <w:r w:rsidR="009F6BBF">
        <w:rPr>
          <w:lang w:val="es-ES"/>
        </w:rPr>
        <w:t>3</w:t>
      </w:r>
      <w:r w:rsidR="00B637B0">
        <w:rPr>
          <w:lang w:val="es-ES"/>
        </w:rPr>
        <w:t>V</w:t>
      </w:r>
      <w:r w:rsidRPr="00747AE6">
        <w:rPr>
          <w:lang w:val="es-ES"/>
        </w:rPr>
        <w:t xml:space="preserve"> fue inscrita con fecha </w:t>
      </w:r>
      <w:r>
        <w:rPr>
          <w:lang w:val="es-ES"/>
        </w:rPr>
        <w:t>20</w:t>
      </w:r>
      <w:r w:rsidRPr="00747AE6">
        <w:rPr>
          <w:lang w:val="es-ES"/>
        </w:rPr>
        <w:t xml:space="preserve"> de </w:t>
      </w:r>
      <w:r>
        <w:rPr>
          <w:lang w:val="es-ES"/>
        </w:rPr>
        <w:t>octubre</w:t>
      </w:r>
      <w:r w:rsidRPr="00747AE6">
        <w:rPr>
          <w:lang w:val="es-ES"/>
        </w:rPr>
        <w:t xml:space="preserve"> de 20</w:t>
      </w:r>
      <w:r>
        <w:rPr>
          <w:lang w:val="es-ES"/>
        </w:rPr>
        <w:t>20 y</w:t>
      </w:r>
      <w:r w:rsidRPr="00747AE6">
        <w:rPr>
          <w:lang w:val="es-ES"/>
        </w:rPr>
        <w:t xml:space="preserve"> tiene las siguientes características</w:t>
      </w:r>
      <w:r>
        <w:rPr>
          <w:lang w:val="es-ES"/>
        </w:rPr>
        <w:t>:</w:t>
      </w:r>
    </w:p>
    <w:p w14:paraId="5E83F365" w14:textId="28D76FFE" w:rsidR="003D0394" w:rsidRDefault="003D0394" w:rsidP="003D0394">
      <w:pPr>
        <w:rPr>
          <w:lang w:val="es-ES"/>
        </w:rPr>
      </w:pPr>
    </w:p>
    <w:tbl>
      <w:tblPr>
        <w:tblW w:w="5980" w:type="dxa"/>
        <w:jc w:val="center"/>
        <w:tblCellMar>
          <w:left w:w="70" w:type="dxa"/>
          <w:right w:w="70" w:type="dxa"/>
        </w:tblCellMar>
        <w:tblLook w:val="04A0" w:firstRow="1" w:lastRow="0" w:firstColumn="1" w:lastColumn="0" w:noHBand="0" w:noVBand="1"/>
      </w:tblPr>
      <w:tblGrid>
        <w:gridCol w:w="2805"/>
        <w:gridCol w:w="3175"/>
      </w:tblGrid>
      <w:tr w:rsidR="003D0394" w:rsidRPr="003D0394" w14:paraId="217C81D1" w14:textId="77777777" w:rsidTr="00BA08EC">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14:paraId="7A651075" w14:textId="77777777" w:rsidR="003D0394" w:rsidRPr="003D0394" w:rsidRDefault="003D0394" w:rsidP="003D0394">
            <w:pPr>
              <w:ind w:right="0"/>
              <w:jc w:val="left"/>
              <w:rPr>
                <w:b/>
                <w:bCs/>
                <w:color w:val="FFFFFF"/>
                <w:sz w:val="20"/>
                <w:szCs w:val="20"/>
                <w:lang w:val="es-CR" w:eastAsia="es-CR"/>
              </w:rPr>
            </w:pPr>
            <w:r w:rsidRPr="003D0394">
              <w:rPr>
                <w:b/>
                <w:bCs/>
                <w:color w:val="FFFFFF"/>
                <w:sz w:val="20"/>
                <w:szCs w:val="20"/>
                <w:lang w:val="es-CR" w:eastAsia="es-CR"/>
              </w:rPr>
              <w:t>Clase de instrumento</w:t>
            </w:r>
          </w:p>
        </w:tc>
        <w:tc>
          <w:tcPr>
            <w:tcW w:w="3040" w:type="dxa"/>
            <w:tcBorders>
              <w:top w:val="single" w:sz="4" w:space="0" w:color="auto"/>
              <w:left w:val="nil"/>
              <w:bottom w:val="single" w:sz="4" w:space="0" w:color="auto"/>
              <w:right w:val="single" w:sz="4" w:space="0" w:color="auto"/>
            </w:tcBorders>
            <w:shd w:val="clear" w:color="000000" w:fill="16365C"/>
            <w:vAlign w:val="bottom"/>
            <w:hideMark/>
          </w:tcPr>
          <w:p w14:paraId="12354A9F" w14:textId="77777777" w:rsidR="003D0394" w:rsidRPr="003D0394" w:rsidRDefault="003D0394" w:rsidP="003D0394">
            <w:pPr>
              <w:ind w:right="0"/>
              <w:jc w:val="left"/>
              <w:rPr>
                <w:b/>
                <w:bCs/>
                <w:color w:val="FFFFFF"/>
                <w:sz w:val="20"/>
                <w:szCs w:val="20"/>
                <w:lang w:val="es-CR" w:eastAsia="es-CR"/>
              </w:rPr>
            </w:pPr>
            <w:r w:rsidRPr="003D0394">
              <w:rPr>
                <w:b/>
                <w:bCs/>
                <w:color w:val="FFFFFF"/>
                <w:sz w:val="20"/>
                <w:szCs w:val="20"/>
                <w:lang w:val="es-CR" w:eastAsia="es-CR"/>
              </w:rPr>
              <w:t>Bonos Estandarizados</w:t>
            </w:r>
          </w:p>
        </w:tc>
      </w:tr>
      <w:tr w:rsidR="003D0394" w:rsidRPr="003D0394" w14:paraId="02E0B44E"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000000" w:fill="16365C"/>
            <w:vAlign w:val="bottom"/>
            <w:hideMark/>
          </w:tcPr>
          <w:p w14:paraId="408CF06A" w14:textId="77777777" w:rsidR="003D0394" w:rsidRPr="003D0394" w:rsidRDefault="003D0394" w:rsidP="003D0394">
            <w:pPr>
              <w:ind w:right="0"/>
              <w:jc w:val="left"/>
              <w:rPr>
                <w:b/>
                <w:bCs/>
                <w:color w:val="FFFFFF"/>
                <w:sz w:val="20"/>
                <w:szCs w:val="20"/>
                <w:lang w:val="es-CR" w:eastAsia="es-CR"/>
              </w:rPr>
            </w:pPr>
            <w:r w:rsidRPr="003D0394">
              <w:rPr>
                <w:b/>
                <w:bCs/>
                <w:color w:val="FFFFFF"/>
                <w:sz w:val="20"/>
                <w:szCs w:val="20"/>
                <w:lang w:val="es-CR" w:eastAsia="es-CR"/>
              </w:rPr>
              <w:t>Nombre de la serie</w:t>
            </w:r>
          </w:p>
        </w:tc>
        <w:tc>
          <w:tcPr>
            <w:tcW w:w="3040" w:type="dxa"/>
            <w:tcBorders>
              <w:top w:val="nil"/>
              <w:left w:val="nil"/>
              <w:bottom w:val="single" w:sz="4" w:space="0" w:color="auto"/>
              <w:right w:val="single" w:sz="4" w:space="0" w:color="auto"/>
            </w:tcBorders>
            <w:shd w:val="clear" w:color="000000" w:fill="16365C"/>
            <w:vAlign w:val="bottom"/>
            <w:hideMark/>
          </w:tcPr>
          <w:p w14:paraId="79EFE2E7" w14:textId="1A89D646" w:rsidR="003D0394" w:rsidRPr="003D0394" w:rsidRDefault="000D43EB" w:rsidP="003D0394">
            <w:pPr>
              <w:ind w:right="0"/>
              <w:jc w:val="left"/>
              <w:rPr>
                <w:b/>
                <w:bCs/>
                <w:color w:val="FFFFFF"/>
                <w:sz w:val="20"/>
                <w:szCs w:val="20"/>
                <w:lang w:val="es-CR" w:eastAsia="es-CR"/>
              </w:rPr>
            </w:pPr>
            <w:r w:rsidRPr="003D0394">
              <w:rPr>
                <w:rFonts w:ascii="Calibri" w:hAnsi="Calibri" w:cs="Calibri"/>
                <w:noProof/>
                <w:color w:val="000000"/>
                <w:sz w:val="22"/>
                <w:szCs w:val="22"/>
                <w:lang w:val="es-CR" w:eastAsia="es-CR"/>
              </w:rPr>
              <w:drawing>
                <wp:anchor distT="0" distB="0" distL="114300" distR="114300" simplePos="0" relativeHeight="251673600" behindDoc="0" locked="0" layoutInCell="1" allowOverlap="1" wp14:anchorId="78373E7C" wp14:editId="7C336B6F">
                  <wp:simplePos x="0" y="0"/>
                  <wp:positionH relativeFrom="column">
                    <wp:posOffset>822325</wp:posOffset>
                  </wp:positionH>
                  <wp:positionV relativeFrom="paragraph">
                    <wp:posOffset>-39370</wp:posOffset>
                  </wp:positionV>
                  <wp:extent cx="123825" cy="152400"/>
                  <wp:effectExtent l="0" t="0" r="9525" b="0"/>
                  <wp:wrapNone/>
                  <wp:docPr id="12" name="Imagen 12">
                    <a:extLst xmlns:a="http://schemas.openxmlformats.org/drawingml/2006/main">
                      <a:ext uri="{FF2B5EF4-FFF2-40B4-BE49-F238E27FC236}">
                        <a16:creationId xmlns:a16="http://schemas.microsoft.com/office/drawing/2014/main" id="{CF69F106-1777-4814-8224-11E2C8B46EE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F69F106-1777-4814-8224-11E2C8B46EE1}"/>
                              </a:ext>
                            </a:extLst>
                          </pic:cNvPr>
                          <pic:cNvPicPr>
                            <a:picLocks noChangeAspect="1"/>
                          </pic:cNvPicPr>
                        </pic:nvPicPr>
                        <pic:blipFill>
                          <a:blip r:embed="rId23"/>
                          <a:stretch>
                            <a:fillRect/>
                          </a:stretch>
                        </pic:blipFill>
                        <pic:spPr>
                          <a:xfrm>
                            <a:off x="0" y="0"/>
                            <a:ext cx="123825" cy="152400"/>
                          </a:xfrm>
                          <a:prstGeom prst="rect">
                            <a:avLst/>
                          </a:prstGeom>
                        </pic:spPr>
                      </pic:pic>
                    </a:graphicData>
                  </a:graphic>
                  <wp14:sizeRelH relativeFrom="page">
                    <wp14:pctWidth>0</wp14:pctWidth>
                  </wp14:sizeRelH>
                  <wp14:sizeRelV relativeFrom="page">
                    <wp14:pctHeight>0</wp14:pctHeight>
                  </wp14:sizeRelV>
                </wp:anchor>
              </w:drawing>
            </w:r>
            <w:r w:rsidR="003D0394" w:rsidRPr="003D0394">
              <w:rPr>
                <w:b/>
                <w:bCs/>
                <w:color w:val="FFFFFF"/>
                <w:sz w:val="20"/>
                <w:szCs w:val="20"/>
                <w:lang w:val="es-CR" w:eastAsia="es-CR"/>
              </w:rPr>
              <w:t>G3V</w:t>
            </w:r>
          </w:p>
        </w:tc>
      </w:tr>
      <w:tr w:rsidR="003D0394" w:rsidRPr="003D0394" w14:paraId="57C48758"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171B589"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Código ISIN</w:t>
            </w:r>
          </w:p>
        </w:tc>
        <w:tc>
          <w:tcPr>
            <w:tcW w:w="3040" w:type="dxa"/>
            <w:tcBorders>
              <w:top w:val="nil"/>
              <w:left w:val="nil"/>
              <w:bottom w:val="nil"/>
              <w:right w:val="nil"/>
            </w:tcBorders>
            <w:shd w:val="clear" w:color="auto" w:fill="auto"/>
            <w:noWrap/>
            <w:vAlign w:val="bottom"/>
            <w:hideMark/>
          </w:tcPr>
          <w:p w14:paraId="024DE7CC" w14:textId="2F7AF15A" w:rsidR="003D0394" w:rsidRPr="003D0394" w:rsidRDefault="003D0394" w:rsidP="003D0394">
            <w:pPr>
              <w:ind w:right="0"/>
              <w:jc w:val="left"/>
              <w:rPr>
                <w:rFonts w:ascii="Calibri" w:hAnsi="Calibri" w:cs="Calibri"/>
                <w:color w:val="000000"/>
                <w:sz w:val="22"/>
                <w:szCs w:val="22"/>
                <w:lang w:val="es-CR" w:eastAsia="es-CR"/>
              </w:rPr>
            </w:pPr>
          </w:p>
          <w:tbl>
            <w:tblPr>
              <w:tblW w:w="0" w:type="auto"/>
              <w:tblCellSpacing w:w="0" w:type="dxa"/>
              <w:tblCellMar>
                <w:left w:w="0" w:type="dxa"/>
                <w:right w:w="0" w:type="dxa"/>
              </w:tblCellMar>
              <w:tblLook w:val="04A0" w:firstRow="1" w:lastRow="0" w:firstColumn="1" w:lastColumn="0" w:noHBand="0" w:noVBand="1"/>
            </w:tblPr>
            <w:tblGrid>
              <w:gridCol w:w="3030"/>
            </w:tblGrid>
            <w:tr w:rsidR="003D0394" w:rsidRPr="003D0394" w14:paraId="10A67000" w14:textId="77777777">
              <w:trPr>
                <w:trHeight w:val="300"/>
                <w:tblCellSpacing w:w="0" w:type="dxa"/>
              </w:trPr>
              <w:tc>
                <w:tcPr>
                  <w:tcW w:w="3020" w:type="dxa"/>
                  <w:tcBorders>
                    <w:top w:val="nil"/>
                    <w:left w:val="nil"/>
                    <w:bottom w:val="single" w:sz="4" w:space="0" w:color="auto"/>
                    <w:right w:val="single" w:sz="4" w:space="0" w:color="auto"/>
                  </w:tcBorders>
                  <w:shd w:val="clear" w:color="auto" w:fill="auto"/>
                  <w:noWrap/>
                  <w:vAlign w:val="bottom"/>
                  <w:hideMark/>
                </w:tcPr>
                <w:p w14:paraId="01C228DE" w14:textId="77777777" w:rsidR="003D0394" w:rsidRPr="003D0394" w:rsidRDefault="003D0394" w:rsidP="003D0394">
                  <w:pPr>
                    <w:ind w:right="0"/>
                    <w:jc w:val="left"/>
                    <w:rPr>
                      <w:b/>
                      <w:bCs/>
                      <w:color w:val="000000"/>
                      <w:sz w:val="18"/>
                      <w:szCs w:val="18"/>
                      <w:lang w:val="es-CR" w:eastAsia="es-CR"/>
                    </w:rPr>
                  </w:pPr>
                  <w:r w:rsidRPr="003D0394">
                    <w:rPr>
                      <w:b/>
                      <w:bCs/>
                      <w:color w:val="000000"/>
                      <w:sz w:val="18"/>
                      <w:szCs w:val="18"/>
                      <w:lang w:val="es-CR" w:eastAsia="es-CR"/>
                    </w:rPr>
                    <w:t>CRICE00B0226</w:t>
                  </w:r>
                </w:p>
              </w:tc>
            </w:tr>
          </w:tbl>
          <w:p w14:paraId="5C237822" w14:textId="77777777" w:rsidR="003D0394" w:rsidRPr="003D0394" w:rsidRDefault="003D0394" w:rsidP="003D0394">
            <w:pPr>
              <w:ind w:right="0"/>
              <w:jc w:val="left"/>
              <w:rPr>
                <w:rFonts w:ascii="Calibri" w:hAnsi="Calibri" w:cs="Calibri"/>
                <w:color w:val="000000"/>
                <w:sz w:val="22"/>
                <w:szCs w:val="22"/>
                <w:lang w:val="es-CR" w:eastAsia="es-CR"/>
              </w:rPr>
            </w:pPr>
          </w:p>
        </w:tc>
      </w:tr>
      <w:tr w:rsidR="003D0394" w:rsidRPr="003D0394" w14:paraId="4E094EDA"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9891064"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Nemotécnico</w:t>
            </w:r>
          </w:p>
        </w:tc>
        <w:tc>
          <w:tcPr>
            <w:tcW w:w="3040" w:type="dxa"/>
            <w:tcBorders>
              <w:top w:val="nil"/>
              <w:left w:val="nil"/>
              <w:bottom w:val="single" w:sz="4" w:space="0" w:color="auto"/>
              <w:right w:val="single" w:sz="4" w:space="0" w:color="auto"/>
            </w:tcBorders>
            <w:shd w:val="clear" w:color="auto" w:fill="auto"/>
            <w:noWrap/>
            <w:vAlign w:val="bottom"/>
            <w:hideMark/>
          </w:tcPr>
          <w:p w14:paraId="0A468281" w14:textId="77777777" w:rsidR="003D0394" w:rsidRPr="003D0394" w:rsidRDefault="003D0394" w:rsidP="003D0394">
            <w:pPr>
              <w:ind w:right="0"/>
              <w:jc w:val="left"/>
              <w:rPr>
                <w:b/>
                <w:bCs/>
                <w:color w:val="000000"/>
                <w:sz w:val="18"/>
                <w:szCs w:val="18"/>
                <w:lang w:val="es-CR" w:eastAsia="es-CR"/>
              </w:rPr>
            </w:pPr>
            <w:r w:rsidRPr="003D0394">
              <w:rPr>
                <w:b/>
                <w:bCs/>
                <w:color w:val="000000"/>
                <w:sz w:val="18"/>
                <w:szCs w:val="18"/>
                <w:lang w:val="es-CR" w:eastAsia="es-CR"/>
              </w:rPr>
              <w:t>bicg3</w:t>
            </w:r>
          </w:p>
        </w:tc>
      </w:tr>
      <w:tr w:rsidR="003D0394" w:rsidRPr="003D0394" w14:paraId="00ACD12A"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622DFAE"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Monto de la emisión y moneda</w:t>
            </w:r>
          </w:p>
        </w:tc>
        <w:tc>
          <w:tcPr>
            <w:tcW w:w="3040" w:type="dxa"/>
            <w:tcBorders>
              <w:top w:val="nil"/>
              <w:left w:val="nil"/>
              <w:bottom w:val="single" w:sz="4" w:space="0" w:color="auto"/>
              <w:right w:val="single" w:sz="4" w:space="0" w:color="auto"/>
            </w:tcBorders>
            <w:shd w:val="clear" w:color="auto" w:fill="auto"/>
            <w:noWrap/>
            <w:vAlign w:val="bottom"/>
            <w:hideMark/>
          </w:tcPr>
          <w:p w14:paraId="12EBF1ED" w14:textId="77777777" w:rsidR="003D0394" w:rsidRPr="003D0394" w:rsidRDefault="003D0394" w:rsidP="003D0394">
            <w:pPr>
              <w:ind w:right="0"/>
              <w:jc w:val="left"/>
              <w:rPr>
                <w:color w:val="000000"/>
                <w:sz w:val="18"/>
                <w:szCs w:val="18"/>
                <w:lang w:val="es-CR" w:eastAsia="es-CR"/>
              </w:rPr>
            </w:pPr>
            <w:r w:rsidRPr="003D0394">
              <w:rPr>
                <w:color w:val="000000"/>
                <w:sz w:val="18"/>
                <w:szCs w:val="18"/>
                <w:lang w:val="es-CR" w:eastAsia="es-CR"/>
              </w:rPr>
              <w:t>₡30,000,000,000.00</w:t>
            </w:r>
          </w:p>
        </w:tc>
      </w:tr>
      <w:tr w:rsidR="003D0394" w:rsidRPr="003D0394" w14:paraId="665D9808"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0E0F75A"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Plazo</w:t>
            </w:r>
          </w:p>
        </w:tc>
        <w:tc>
          <w:tcPr>
            <w:tcW w:w="3040" w:type="dxa"/>
            <w:tcBorders>
              <w:top w:val="nil"/>
              <w:left w:val="nil"/>
              <w:bottom w:val="single" w:sz="4" w:space="0" w:color="auto"/>
              <w:right w:val="single" w:sz="4" w:space="0" w:color="auto"/>
            </w:tcBorders>
            <w:shd w:val="clear" w:color="auto" w:fill="auto"/>
            <w:vAlign w:val="bottom"/>
            <w:hideMark/>
          </w:tcPr>
          <w:p w14:paraId="517DE8EC"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8 años</w:t>
            </w:r>
          </w:p>
        </w:tc>
      </w:tr>
      <w:tr w:rsidR="003D0394" w:rsidRPr="003D0394" w14:paraId="595B142F"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F9E6AE3"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Fecha de emisión</w:t>
            </w:r>
          </w:p>
        </w:tc>
        <w:tc>
          <w:tcPr>
            <w:tcW w:w="3040" w:type="dxa"/>
            <w:tcBorders>
              <w:top w:val="nil"/>
              <w:left w:val="nil"/>
              <w:bottom w:val="single" w:sz="4" w:space="0" w:color="auto"/>
              <w:right w:val="single" w:sz="4" w:space="0" w:color="auto"/>
            </w:tcBorders>
            <w:shd w:val="clear" w:color="auto" w:fill="auto"/>
            <w:noWrap/>
            <w:vAlign w:val="bottom"/>
            <w:hideMark/>
          </w:tcPr>
          <w:p w14:paraId="6B77433B"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24 de agosto del 2020</w:t>
            </w:r>
          </w:p>
        </w:tc>
      </w:tr>
      <w:tr w:rsidR="003D0394" w:rsidRPr="003D0394" w14:paraId="360FB8FD"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62242B1"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Fecha de vencimiento</w:t>
            </w:r>
          </w:p>
        </w:tc>
        <w:tc>
          <w:tcPr>
            <w:tcW w:w="3040" w:type="dxa"/>
            <w:tcBorders>
              <w:top w:val="nil"/>
              <w:left w:val="nil"/>
              <w:bottom w:val="single" w:sz="4" w:space="0" w:color="auto"/>
              <w:right w:val="single" w:sz="4" w:space="0" w:color="auto"/>
            </w:tcBorders>
            <w:shd w:val="clear" w:color="auto" w:fill="auto"/>
            <w:noWrap/>
            <w:vAlign w:val="bottom"/>
            <w:hideMark/>
          </w:tcPr>
          <w:p w14:paraId="3B653E31"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24 de agosto del 2028</w:t>
            </w:r>
          </w:p>
        </w:tc>
      </w:tr>
      <w:tr w:rsidR="003D0394" w:rsidRPr="003D0394" w14:paraId="737D9573"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4389DED"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 xml:space="preserve">Tasa de interés bruta </w:t>
            </w:r>
          </w:p>
        </w:tc>
        <w:tc>
          <w:tcPr>
            <w:tcW w:w="3040" w:type="dxa"/>
            <w:tcBorders>
              <w:top w:val="nil"/>
              <w:left w:val="nil"/>
              <w:bottom w:val="single" w:sz="4" w:space="0" w:color="auto"/>
              <w:right w:val="single" w:sz="4" w:space="0" w:color="auto"/>
            </w:tcBorders>
            <w:shd w:val="clear" w:color="auto" w:fill="auto"/>
            <w:noWrap/>
            <w:vAlign w:val="bottom"/>
            <w:hideMark/>
          </w:tcPr>
          <w:p w14:paraId="5B0F42AC"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7.33%</w:t>
            </w:r>
          </w:p>
        </w:tc>
      </w:tr>
      <w:tr w:rsidR="003D0394" w:rsidRPr="003D0394" w14:paraId="783D99E9" w14:textId="77777777" w:rsidTr="00BA08EC">
        <w:trPr>
          <w:trHeight w:val="525"/>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3DB5C3B"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 xml:space="preserve">Tasa de interés neta </w:t>
            </w:r>
          </w:p>
        </w:tc>
        <w:tc>
          <w:tcPr>
            <w:tcW w:w="3040" w:type="dxa"/>
            <w:tcBorders>
              <w:top w:val="nil"/>
              <w:left w:val="nil"/>
              <w:bottom w:val="single" w:sz="4" w:space="0" w:color="auto"/>
              <w:right w:val="single" w:sz="4" w:space="0" w:color="auto"/>
            </w:tcBorders>
            <w:shd w:val="clear" w:color="auto" w:fill="auto"/>
            <w:vAlign w:val="bottom"/>
            <w:hideMark/>
          </w:tcPr>
          <w:p w14:paraId="016E1C3A"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Tasa Bruta menos el Impuesto sobre la Renta</w:t>
            </w:r>
          </w:p>
        </w:tc>
      </w:tr>
      <w:tr w:rsidR="003D0394" w:rsidRPr="003D0394" w14:paraId="19B323B6" w14:textId="77777777" w:rsidTr="00BA08EC">
        <w:trPr>
          <w:trHeight w:val="300"/>
          <w:jc w:val="center"/>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E466C5D"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Amortización del principal</w:t>
            </w:r>
          </w:p>
        </w:tc>
        <w:tc>
          <w:tcPr>
            <w:tcW w:w="3040" w:type="dxa"/>
            <w:tcBorders>
              <w:top w:val="nil"/>
              <w:left w:val="nil"/>
              <w:bottom w:val="single" w:sz="4" w:space="0" w:color="auto"/>
              <w:right w:val="single" w:sz="4" w:space="0" w:color="auto"/>
            </w:tcBorders>
            <w:shd w:val="clear" w:color="auto" w:fill="auto"/>
            <w:noWrap/>
            <w:vAlign w:val="bottom"/>
            <w:hideMark/>
          </w:tcPr>
          <w:p w14:paraId="1EB826BF" w14:textId="77777777" w:rsidR="003D0394" w:rsidRPr="003D0394" w:rsidRDefault="003D0394" w:rsidP="003D0394">
            <w:pPr>
              <w:ind w:right="0"/>
              <w:jc w:val="left"/>
              <w:rPr>
                <w:color w:val="000000"/>
                <w:sz w:val="20"/>
                <w:szCs w:val="20"/>
                <w:lang w:val="es-CR" w:eastAsia="es-CR"/>
              </w:rPr>
            </w:pPr>
            <w:r w:rsidRPr="003D0394">
              <w:rPr>
                <w:color w:val="000000"/>
                <w:sz w:val="20"/>
                <w:szCs w:val="20"/>
                <w:lang w:val="es-CR" w:eastAsia="es-CR"/>
              </w:rPr>
              <w:t>Al Vencimiento</w:t>
            </w:r>
          </w:p>
        </w:tc>
      </w:tr>
    </w:tbl>
    <w:p w14:paraId="6BF02EE0" w14:textId="77777777" w:rsidR="003D0394" w:rsidRDefault="003D0394" w:rsidP="003D0394">
      <w:pPr>
        <w:rPr>
          <w:lang w:val="es-ES"/>
        </w:rPr>
      </w:pPr>
    </w:p>
    <w:p w14:paraId="59832850" w14:textId="77777777" w:rsidR="003D0394" w:rsidRDefault="003D0394" w:rsidP="003D0394">
      <w:pPr>
        <w:rPr>
          <w:lang w:val="es-ES"/>
        </w:rPr>
      </w:pPr>
    </w:p>
    <w:p w14:paraId="43785083" w14:textId="6C6F1628" w:rsidR="003D0394" w:rsidRDefault="009F6BBF" w:rsidP="00B338E8">
      <w:pPr>
        <w:rPr>
          <w:lang w:val="es-ES"/>
        </w:rPr>
      </w:pPr>
      <w:r>
        <w:rPr>
          <w:lang w:val="es-ES"/>
        </w:rPr>
        <w:t>La serie G3</w:t>
      </w:r>
      <w:r w:rsidR="00B637B0">
        <w:rPr>
          <w:lang w:val="es-ES"/>
        </w:rPr>
        <w:t>V</w:t>
      </w:r>
      <w:r>
        <w:rPr>
          <w:lang w:val="es-ES"/>
        </w:rPr>
        <w:t xml:space="preserve"> fue colocada parcialmente mediante subasta el día 04 de noviembre de 2021 por un monto de ¢14,443,000,000.</w:t>
      </w:r>
    </w:p>
    <w:p w14:paraId="342ADC89" w14:textId="77777777" w:rsidR="00A65F5F" w:rsidRDefault="00A65F5F" w:rsidP="00A65F5F">
      <w:pPr>
        <w:pStyle w:val="Ttulo3"/>
        <w:numPr>
          <w:ilvl w:val="2"/>
          <w:numId w:val="1"/>
        </w:numPr>
        <w:ind w:left="142" w:hanging="709"/>
      </w:pPr>
      <w:bookmarkStart w:id="134" w:name="_Toc304737156"/>
      <w:bookmarkStart w:id="135" w:name="_Toc343675985"/>
      <w:bookmarkStart w:id="136" w:name="_Toc358619348"/>
      <w:bookmarkStart w:id="137" w:name="_Toc358620613"/>
      <w:bookmarkStart w:id="138" w:name="_Toc358621820"/>
      <w:bookmarkStart w:id="139" w:name="_Toc358622797"/>
      <w:bookmarkStart w:id="140" w:name="_Toc421264436"/>
      <w:bookmarkStart w:id="141" w:name="_Toc26357110"/>
      <w:bookmarkStart w:id="142" w:name="_Toc138664899"/>
      <w:r>
        <w:t>Razones de la oferta y uso de los recursos provenientes de la captación</w:t>
      </w:r>
      <w:bookmarkEnd w:id="134"/>
      <w:bookmarkEnd w:id="135"/>
      <w:bookmarkEnd w:id="136"/>
      <w:bookmarkEnd w:id="137"/>
      <w:bookmarkEnd w:id="138"/>
      <w:bookmarkEnd w:id="139"/>
      <w:bookmarkEnd w:id="140"/>
      <w:bookmarkEnd w:id="141"/>
      <w:bookmarkEnd w:id="142"/>
    </w:p>
    <w:p w14:paraId="6B5B5373" w14:textId="77777777" w:rsidR="00A65F5F" w:rsidRDefault="00A65F5F" w:rsidP="00A65F5F">
      <w:pPr>
        <w:ind w:left="-540" w:right="-25"/>
        <w:rPr>
          <w:lang w:val="es-ES"/>
        </w:rPr>
      </w:pPr>
    </w:p>
    <w:p w14:paraId="299D6142" w14:textId="77777777" w:rsidR="00A65F5F" w:rsidRDefault="00A65F5F" w:rsidP="00A65F5F">
      <w:pPr>
        <w:ind w:right="-25"/>
      </w:pPr>
      <w:r w:rsidRPr="00FE7D06">
        <w:rPr>
          <w:lang w:val="es-ES"/>
        </w:rPr>
        <w:t xml:space="preserve">Los recursos provenientes de las captaciones que realice el ICE por medio de programas de Bonos Estandarizados se utilizarán para financiar el desarrollo de proyectos de infraestructura necesaria para la prestación de </w:t>
      </w:r>
      <w:r w:rsidRPr="0061285E">
        <w:rPr>
          <w:lang w:val="es-ES"/>
        </w:rPr>
        <w:t>servicios</w:t>
      </w:r>
      <w:r w:rsidRPr="0061285E">
        <w:t>, así como para la reconversión de pasivos del Grupo ICE.</w:t>
      </w:r>
    </w:p>
    <w:p w14:paraId="15A8EBD5" w14:textId="77777777" w:rsidR="00A65F5F" w:rsidRDefault="00A65F5F" w:rsidP="00A65F5F">
      <w:pPr>
        <w:ind w:right="-25"/>
      </w:pPr>
    </w:p>
    <w:p w14:paraId="0C6C0F77" w14:textId="77777777" w:rsidR="00A65F5F" w:rsidRPr="009B4DAD" w:rsidRDefault="00A65F5F" w:rsidP="00A65F5F">
      <w:pPr>
        <w:ind w:right="-25"/>
        <w:rPr>
          <w:lang w:val="es-ES"/>
        </w:rPr>
      </w:pPr>
      <w:r>
        <w:t xml:space="preserve">Para el caso del programa G el destino de </w:t>
      </w:r>
      <w:r w:rsidRPr="0061285E">
        <w:rPr>
          <w:lang w:val="es-ES"/>
        </w:rPr>
        <w:t xml:space="preserve">los recursos </w:t>
      </w:r>
      <w:r>
        <w:rPr>
          <w:lang w:val="es-ES"/>
        </w:rPr>
        <w:t>es</w:t>
      </w:r>
      <w:r w:rsidRPr="0061285E">
        <w:rPr>
          <w:lang w:val="es-ES"/>
        </w:rPr>
        <w:t xml:space="preserve"> financiar obras de inversión tanto del Negocio de Electricidad como del Negocio Telecomunicaciones y en caso de que resulte de </w:t>
      </w:r>
      <w:r w:rsidRPr="009B4DAD">
        <w:rPr>
          <w:lang w:val="es-ES"/>
        </w:rPr>
        <w:t>interés corporativo resolver necesidades de financiamiento de las subsidiarias.</w:t>
      </w:r>
    </w:p>
    <w:p w14:paraId="289A0DD7" w14:textId="77777777" w:rsidR="00A65F5F" w:rsidRPr="009B4DAD" w:rsidRDefault="00A65F5F" w:rsidP="00A65F5F">
      <w:pPr>
        <w:ind w:left="-540" w:right="-25"/>
        <w:rPr>
          <w:lang w:val="es-ES"/>
        </w:rPr>
      </w:pPr>
    </w:p>
    <w:p w14:paraId="3911C121" w14:textId="77777777" w:rsidR="00A65F5F" w:rsidRPr="009B4DAD" w:rsidRDefault="00A65F5F" w:rsidP="00A65F5F">
      <w:pPr>
        <w:ind w:right="-25"/>
        <w:rPr>
          <w:lang w:val="es-ES"/>
        </w:rPr>
      </w:pPr>
      <w:r w:rsidRPr="009B4DAD">
        <w:rPr>
          <w:lang w:val="es-ES"/>
        </w:rPr>
        <w:t>Los recursos para el Sector Electricidad se utilizarán prioritariamente en nuevos proyectos de generación hidroeléctrica y geotérmica, así como mejoras a plantas hidroeléctricas en operación; además de obras de transmisión y distribución, entre otros.   En el caso del Sector de Telecomunicaciones el ICE tiene previsto utilizar los recursos para ampliar su infraestructura actual o para inversiones en el desarrollo de nuevos servicios considerando las oportunidades que se presentan en el mercado.</w:t>
      </w:r>
    </w:p>
    <w:p w14:paraId="792AE886" w14:textId="77777777" w:rsidR="00A65F5F" w:rsidRPr="009B4DAD" w:rsidRDefault="00A65F5F" w:rsidP="00A65F5F">
      <w:pPr>
        <w:ind w:left="-540" w:right="-25"/>
        <w:rPr>
          <w:lang w:val="es-ES"/>
        </w:rPr>
      </w:pPr>
    </w:p>
    <w:p w14:paraId="7E275F34" w14:textId="77777777" w:rsidR="00A65F5F" w:rsidRDefault="00A65F5F" w:rsidP="00A65F5F">
      <w:pPr>
        <w:ind w:right="-25"/>
        <w:rPr>
          <w:lang w:val="es-ES"/>
        </w:rPr>
      </w:pPr>
      <w:r w:rsidRPr="009B4DAD">
        <w:rPr>
          <w:lang w:val="es-ES"/>
        </w:rPr>
        <w:t>Si los proyectos en los Sectores de Electricidad y Telecomunicaciones requieren de financiamiento adicional, el ICE recurrirá a otras fuentes de financiamiento como pueden ser créditos bancarios, créditos con organismos multilaterales o mediante recursos propios entre otros.</w:t>
      </w:r>
    </w:p>
    <w:p w14:paraId="477C37EA" w14:textId="77777777" w:rsidR="007B7084" w:rsidRDefault="007B7084" w:rsidP="00A65F5F">
      <w:pPr>
        <w:ind w:right="-25"/>
        <w:rPr>
          <w:lang w:val="es-ES"/>
        </w:rPr>
      </w:pPr>
    </w:p>
    <w:p w14:paraId="0379E6C0" w14:textId="77777777" w:rsidR="00A65F5F" w:rsidRDefault="00A65F5F" w:rsidP="00A65F5F">
      <w:pPr>
        <w:pStyle w:val="Encabezado"/>
        <w:rPr>
          <w:lang w:val="es-ES"/>
        </w:rPr>
      </w:pPr>
      <w:r w:rsidRPr="00460BD1">
        <w:rPr>
          <w:lang w:val="es-ES"/>
        </w:rPr>
        <w:t>En caso de que resulte de interés corporativo, los recursos que se obtengan mediante la colocación de los títulos valores, podrán utilizarse para resolver necesidades de financiamiento de las subsidiarias.</w:t>
      </w:r>
    </w:p>
    <w:p w14:paraId="769605F3" w14:textId="77777777" w:rsidR="00A65F5F" w:rsidRDefault="00A65F5F" w:rsidP="00A65F5F">
      <w:pPr>
        <w:pStyle w:val="Encabezado"/>
        <w:rPr>
          <w:lang w:val="es-ES"/>
        </w:rPr>
      </w:pPr>
    </w:p>
    <w:p w14:paraId="746F2FF0" w14:textId="77777777" w:rsidR="00B173D2" w:rsidRDefault="00464D99">
      <w:pPr>
        <w:ind w:right="-25"/>
        <w:rPr>
          <w:lang w:val="es-ES"/>
        </w:rPr>
      </w:pPr>
      <w:r>
        <w:rPr>
          <w:lang w:val="es-ES"/>
        </w:rPr>
        <w:t>E</w:t>
      </w:r>
      <w:r w:rsidR="00B173D2">
        <w:rPr>
          <w:lang w:val="es-ES"/>
        </w:rPr>
        <w:t>l Consejo Directivo del ICE aprobó en el artículo 3, Capítulo II</w:t>
      </w:r>
      <w:r w:rsidR="0003209B">
        <w:rPr>
          <w:lang w:val="es-ES"/>
        </w:rPr>
        <w:t>I</w:t>
      </w:r>
      <w:r w:rsidR="00B173D2">
        <w:rPr>
          <w:lang w:val="es-ES"/>
        </w:rPr>
        <w:t xml:space="preserve"> de la Sesión 6396</w:t>
      </w:r>
      <w:r>
        <w:rPr>
          <w:rStyle w:val="Refdenotaalpie"/>
          <w:lang w:val="es-ES"/>
        </w:rPr>
        <w:footnoteReference w:id="4"/>
      </w:r>
      <w:r w:rsidR="00B173D2">
        <w:rPr>
          <w:lang w:val="es-ES"/>
        </w:rPr>
        <w:t xml:space="preserve"> del 11 de agosto de 2020</w:t>
      </w:r>
      <w:r w:rsidR="003B0FD6">
        <w:rPr>
          <w:lang w:val="es-ES"/>
        </w:rPr>
        <w:t>,</w:t>
      </w:r>
      <w:r>
        <w:rPr>
          <w:lang w:val="es-ES"/>
        </w:rPr>
        <w:t xml:space="preserve"> y </w:t>
      </w:r>
      <w:r w:rsidR="00B173D2">
        <w:rPr>
          <w:lang w:val="es-ES"/>
        </w:rPr>
        <w:t xml:space="preserve">en el artículo </w:t>
      </w:r>
      <w:r w:rsidR="00313F85">
        <w:rPr>
          <w:lang w:val="es-ES"/>
        </w:rPr>
        <w:t>2</w:t>
      </w:r>
      <w:r w:rsidR="00B173D2">
        <w:rPr>
          <w:lang w:val="es-ES"/>
        </w:rPr>
        <w:t xml:space="preserve">, Capítulo </w:t>
      </w:r>
      <w:r w:rsidR="00313F85">
        <w:rPr>
          <w:lang w:val="es-ES"/>
        </w:rPr>
        <w:t>I</w:t>
      </w:r>
      <w:r w:rsidR="00B173D2">
        <w:rPr>
          <w:lang w:val="es-ES"/>
        </w:rPr>
        <w:t xml:space="preserve"> de la Sesión </w:t>
      </w:r>
      <w:r w:rsidR="00313F85">
        <w:rPr>
          <w:lang w:val="es-ES"/>
        </w:rPr>
        <w:t>6398</w:t>
      </w:r>
      <w:r w:rsidR="00B173D2">
        <w:rPr>
          <w:lang w:val="es-ES"/>
        </w:rPr>
        <w:t xml:space="preserve"> del </w:t>
      </w:r>
      <w:r w:rsidR="00313F85">
        <w:rPr>
          <w:lang w:val="es-ES"/>
        </w:rPr>
        <w:t>25</w:t>
      </w:r>
      <w:r w:rsidR="00B173D2">
        <w:rPr>
          <w:lang w:val="es-ES"/>
        </w:rPr>
        <w:t xml:space="preserve"> de </w:t>
      </w:r>
      <w:r w:rsidR="00313F85">
        <w:rPr>
          <w:lang w:val="es-ES"/>
        </w:rPr>
        <w:t>agosto</w:t>
      </w:r>
      <w:r w:rsidR="00B173D2">
        <w:rPr>
          <w:lang w:val="es-ES"/>
        </w:rPr>
        <w:t xml:space="preserve"> de 2020, el destino del uso de los recursos captados por medio del Programa G de Bonos de Deuda Estandarizada, permitiendo </w:t>
      </w:r>
      <w:r w:rsidR="00B173D2" w:rsidRPr="003B35FE">
        <w:rPr>
          <w:lang w:val="es-ES"/>
        </w:rPr>
        <w:t xml:space="preserve">que </w:t>
      </w:r>
      <w:r w:rsidR="003B0FD6">
        <w:rPr>
          <w:lang w:val="es-ES"/>
        </w:rPr>
        <w:t>e</w:t>
      </w:r>
      <w:r w:rsidR="00B173D2" w:rsidRPr="003B35FE">
        <w:rPr>
          <w:lang w:val="es-ES"/>
        </w:rPr>
        <w:t>stos puedan utilizar</w:t>
      </w:r>
      <w:r w:rsidR="00B173D2">
        <w:rPr>
          <w:lang w:val="es-ES"/>
        </w:rPr>
        <w:t>se</w:t>
      </w:r>
      <w:r w:rsidR="00B173D2" w:rsidRPr="003B35FE">
        <w:rPr>
          <w:lang w:val="es-ES"/>
        </w:rPr>
        <w:t xml:space="preserve"> </w:t>
      </w:r>
      <w:r w:rsidR="003B0FD6">
        <w:rPr>
          <w:lang w:val="es-ES"/>
        </w:rPr>
        <w:t xml:space="preserve">también </w:t>
      </w:r>
      <w:r w:rsidR="00B173D2" w:rsidRPr="003B35FE">
        <w:rPr>
          <w:lang w:val="es-ES"/>
        </w:rPr>
        <w:t>para</w:t>
      </w:r>
      <w:r w:rsidR="00B173D2">
        <w:rPr>
          <w:lang w:val="es-ES"/>
        </w:rPr>
        <w:t xml:space="preserve"> </w:t>
      </w:r>
      <w:r w:rsidR="00B173D2" w:rsidRPr="003B35FE">
        <w:rPr>
          <w:lang w:val="es-ES"/>
        </w:rPr>
        <w:t>el refinanciamiento de deuda y operaciones de canje de deuda</w:t>
      </w:r>
      <w:r w:rsidR="00B173D2">
        <w:rPr>
          <w:lang w:val="es-ES"/>
        </w:rPr>
        <w:t xml:space="preserve"> </w:t>
      </w:r>
      <w:r w:rsidR="00B173D2" w:rsidRPr="003B35FE">
        <w:rPr>
          <w:lang w:val="es-ES"/>
        </w:rPr>
        <w:t>financiera</w:t>
      </w:r>
      <w:r w:rsidR="00B173D2">
        <w:rPr>
          <w:lang w:val="es-ES"/>
        </w:rPr>
        <w:t>.</w:t>
      </w:r>
    </w:p>
    <w:p w14:paraId="688F0358" w14:textId="77777777" w:rsidR="00464D99" w:rsidRDefault="00464D99">
      <w:pPr>
        <w:ind w:right="-25"/>
        <w:rPr>
          <w:lang w:val="es-ES"/>
        </w:rPr>
      </w:pPr>
    </w:p>
    <w:p w14:paraId="51803C3B" w14:textId="77777777" w:rsidR="003B0FD6" w:rsidRPr="008E5BA2" w:rsidRDefault="003B0FD6">
      <w:pPr>
        <w:ind w:right="-25"/>
        <w:rPr>
          <w:lang w:val="es-ES"/>
        </w:rPr>
      </w:pPr>
    </w:p>
    <w:p w14:paraId="3F93878A" w14:textId="77777777" w:rsidR="00A65F5F" w:rsidRDefault="00A65F5F" w:rsidP="00A65F5F">
      <w:pPr>
        <w:pStyle w:val="Encabezado"/>
      </w:pPr>
      <w:r>
        <w:rPr>
          <w:lang w:val="es-ES"/>
        </w:rPr>
        <w:t>S</w:t>
      </w:r>
      <w:r>
        <w:t xml:space="preserve">e informará mediante Comunicado de Hecho Relevante como </w:t>
      </w:r>
      <w:r w:rsidRPr="00F17DC6">
        <w:t>mínimo 2 días</w:t>
      </w:r>
      <w:r>
        <w:t xml:space="preserve"> hábiles antes de la fecha de colocación, el destino específico de los recursos que se capten en la colocación de las series derivadas del programa G, así como si existen riesgos adicionales a los revelados en el prospecto, así como el detalle respectivo en caso de presentarse.</w:t>
      </w:r>
    </w:p>
    <w:p w14:paraId="19C38663" w14:textId="77777777" w:rsidR="00A65F5F" w:rsidRDefault="00A65F5F" w:rsidP="00A65F5F">
      <w:pPr>
        <w:pStyle w:val="Encabezado"/>
      </w:pPr>
    </w:p>
    <w:p w14:paraId="7D0741DA" w14:textId="77777777" w:rsidR="00A65F5F" w:rsidRPr="00435379" w:rsidRDefault="00A65F5F" w:rsidP="00A65F5F">
      <w:pPr>
        <w:pStyle w:val="Ttulo3"/>
        <w:numPr>
          <w:ilvl w:val="2"/>
          <w:numId w:val="1"/>
        </w:numPr>
        <w:ind w:left="142" w:hanging="709"/>
      </w:pPr>
      <w:bookmarkStart w:id="143" w:name="_Toc304737157"/>
      <w:bookmarkStart w:id="144" w:name="_Toc343675986"/>
      <w:bookmarkStart w:id="145" w:name="_Toc358619349"/>
      <w:bookmarkStart w:id="146" w:name="_Toc358620614"/>
      <w:bookmarkStart w:id="147" w:name="_Toc358621821"/>
      <w:bookmarkStart w:id="148" w:name="_Toc358622798"/>
      <w:bookmarkStart w:id="149" w:name="_Toc421264437"/>
      <w:bookmarkStart w:id="150" w:name="_Toc26357111"/>
      <w:bookmarkStart w:id="151" w:name="_Toc138664900"/>
      <w:r w:rsidRPr="00435379">
        <w:t>Costos de la emisión y su colocación</w:t>
      </w:r>
      <w:bookmarkEnd w:id="143"/>
      <w:bookmarkEnd w:id="144"/>
      <w:bookmarkEnd w:id="145"/>
      <w:bookmarkEnd w:id="146"/>
      <w:bookmarkEnd w:id="147"/>
      <w:bookmarkEnd w:id="148"/>
      <w:bookmarkEnd w:id="149"/>
      <w:bookmarkEnd w:id="150"/>
      <w:bookmarkEnd w:id="151"/>
    </w:p>
    <w:p w14:paraId="1A7649C0" w14:textId="77777777" w:rsidR="00A65F5F" w:rsidRPr="00435379" w:rsidRDefault="00A65F5F" w:rsidP="00A65F5F">
      <w:pPr>
        <w:ind w:left="-540" w:right="-25"/>
        <w:rPr>
          <w:lang w:val="es-ES"/>
        </w:rPr>
      </w:pPr>
    </w:p>
    <w:p w14:paraId="46F80079" w14:textId="59F7CEB8" w:rsidR="00A65F5F" w:rsidRPr="00435379" w:rsidRDefault="00A65F5F" w:rsidP="00A65F5F">
      <w:pPr>
        <w:ind w:right="-25"/>
        <w:rPr>
          <w:lang w:val="es-ES"/>
        </w:rPr>
      </w:pPr>
      <w:r w:rsidRPr="00435379">
        <w:rPr>
          <w:lang w:val="es-ES"/>
        </w:rPr>
        <w:t>Los costos asociados con la estructuración, registro y colocación de la</w:t>
      </w:r>
      <w:r w:rsidR="002C4467">
        <w:rPr>
          <w:lang w:val="es-ES"/>
        </w:rPr>
        <w:t>s</w:t>
      </w:r>
      <w:r w:rsidR="00A672DF">
        <w:rPr>
          <w:lang w:val="es-ES"/>
        </w:rPr>
        <w:t xml:space="preserve"> </w:t>
      </w:r>
      <w:r w:rsidRPr="00435379">
        <w:rPr>
          <w:lang w:val="es-ES"/>
        </w:rPr>
        <w:t>emisi</w:t>
      </w:r>
      <w:r w:rsidR="002C4467">
        <w:rPr>
          <w:lang w:val="es-ES"/>
        </w:rPr>
        <w:t>ones</w:t>
      </w:r>
      <w:r w:rsidRPr="00435379">
        <w:rPr>
          <w:lang w:val="es-ES"/>
        </w:rPr>
        <w:t xml:space="preserve"> se estiman en un 0.25% del monto nominal de la misma</w:t>
      </w:r>
      <w:r>
        <w:rPr>
          <w:lang w:val="es-ES"/>
        </w:rPr>
        <w:t>, en caso de que aplique.</w:t>
      </w:r>
    </w:p>
    <w:p w14:paraId="333704DD" w14:textId="77777777" w:rsidR="00A65F5F" w:rsidRPr="00435379" w:rsidRDefault="00A65F5F" w:rsidP="00A65F5F">
      <w:pPr>
        <w:ind w:left="-540" w:right="-25"/>
        <w:rPr>
          <w:lang w:val="es-ES"/>
        </w:rPr>
      </w:pPr>
      <w:r w:rsidRPr="00435379">
        <w:rPr>
          <w:lang w:val="es-ES"/>
        </w:rPr>
        <w:t xml:space="preserve"> </w:t>
      </w:r>
    </w:p>
    <w:p w14:paraId="60C26322" w14:textId="0756FCCA" w:rsidR="00A65F5F" w:rsidRPr="00670E95" w:rsidRDefault="00A65F5F" w:rsidP="00A65F5F">
      <w:pPr>
        <w:ind w:right="-25"/>
        <w:rPr>
          <w:lang w:val="es-ES"/>
        </w:rPr>
      </w:pPr>
      <w:r w:rsidRPr="00435379">
        <w:rPr>
          <w:lang w:val="es-ES"/>
        </w:rPr>
        <w:t>Los gastos que llegaran a generarse en la distribución de los valores de la</w:t>
      </w:r>
      <w:r w:rsidR="002C4467">
        <w:rPr>
          <w:lang w:val="es-ES"/>
        </w:rPr>
        <w:t>s</w:t>
      </w:r>
      <w:r w:rsidR="00A672DF">
        <w:rPr>
          <w:lang w:val="es-ES"/>
        </w:rPr>
        <w:t xml:space="preserve"> </w:t>
      </w:r>
      <w:r w:rsidRPr="00435379">
        <w:rPr>
          <w:lang w:val="es-ES"/>
        </w:rPr>
        <w:t>emisi</w:t>
      </w:r>
      <w:r w:rsidR="002C4467">
        <w:rPr>
          <w:lang w:val="es-ES"/>
        </w:rPr>
        <w:t>ones</w:t>
      </w:r>
      <w:r w:rsidRPr="00435379">
        <w:rPr>
          <w:lang w:val="es-ES"/>
        </w:rPr>
        <w:t xml:space="preserve"> deberán ser as</w:t>
      </w:r>
      <w:r w:rsidR="00A672DF">
        <w:rPr>
          <w:lang w:val="es-ES"/>
        </w:rPr>
        <w:t>umidos en su totalidad por los Puestos de B</w:t>
      </w:r>
      <w:r w:rsidRPr="00435379">
        <w:rPr>
          <w:lang w:val="es-ES"/>
        </w:rPr>
        <w:t>olsa sin embargo</w:t>
      </w:r>
      <w:r>
        <w:rPr>
          <w:lang w:val="es-ES"/>
        </w:rPr>
        <w:t xml:space="preserve">, </w:t>
      </w:r>
      <w:r w:rsidRPr="00435379">
        <w:rPr>
          <w:lang w:val="es-ES"/>
        </w:rPr>
        <w:t>el ICE podrá reconocer una comisión de colocación a los puestos de bolsa hasta un 0.5% del valor transado. En los casos en que el emiso</w:t>
      </w:r>
      <w:r w:rsidR="00A672DF">
        <w:rPr>
          <w:lang w:val="es-ES"/>
        </w:rPr>
        <w:t>r reconozca una comisión a los P</w:t>
      </w:r>
      <w:r w:rsidRPr="00435379">
        <w:rPr>
          <w:lang w:val="es-ES"/>
        </w:rPr>
        <w:t xml:space="preserve">uestos de </w:t>
      </w:r>
      <w:r w:rsidR="00A672DF">
        <w:rPr>
          <w:lang w:val="es-ES"/>
        </w:rPr>
        <w:t>B</w:t>
      </w:r>
      <w:r w:rsidRPr="00435379">
        <w:rPr>
          <w:lang w:val="es-ES"/>
        </w:rPr>
        <w:t>olsa, el porcentaje definitivo de comisión se dará a conocer a través de un comunicado de Hecho Relevante como mínimo 2 días hábiles antes de la fecha de colocación.</w:t>
      </w:r>
    </w:p>
    <w:p w14:paraId="1C61E8D2" w14:textId="77777777" w:rsidR="00A65F5F" w:rsidRDefault="00A65F5F" w:rsidP="00A65F5F">
      <w:pPr>
        <w:ind w:left="-540" w:right="-25"/>
        <w:rPr>
          <w:lang w:val="es-ES"/>
        </w:rPr>
      </w:pPr>
    </w:p>
    <w:p w14:paraId="732D6F1E" w14:textId="77777777" w:rsidR="00A65F5F" w:rsidRPr="00CE741A" w:rsidRDefault="00A65F5F" w:rsidP="00A65F5F">
      <w:pPr>
        <w:pStyle w:val="Ttulo3"/>
        <w:numPr>
          <w:ilvl w:val="2"/>
          <w:numId w:val="1"/>
        </w:numPr>
        <w:ind w:left="142" w:hanging="709"/>
      </w:pPr>
      <w:bookmarkStart w:id="152" w:name="_Toc26357112"/>
      <w:bookmarkStart w:id="153" w:name="_Toc138664901"/>
      <w:bookmarkStart w:id="154" w:name="_Toc304737158"/>
      <w:bookmarkStart w:id="155" w:name="_Toc343675987"/>
      <w:bookmarkStart w:id="156" w:name="_Toc358619350"/>
      <w:bookmarkStart w:id="157" w:name="_Toc358620615"/>
      <w:bookmarkStart w:id="158" w:name="_Toc358621822"/>
      <w:bookmarkStart w:id="159" w:name="_Toc358622799"/>
      <w:bookmarkStart w:id="160" w:name="_Toc421264438"/>
      <w:r w:rsidRPr="00CE741A">
        <w:t>Representación por medio de anotación electrónica en cuenta</w:t>
      </w:r>
      <w:bookmarkEnd w:id="152"/>
      <w:bookmarkEnd w:id="153"/>
      <w:r w:rsidRPr="00CE741A">
        <w:t xml:space="preserve"> </w:t>
      </w:r>
      <w:bookmarkEnd w:id="154"/>
      <w:bookmarkEnd w:id="155"/>
      <w:bookmarkEnd w:id="156"/>
      <w:bookmarkEnd w:id="157"/>
      <w:bookmarkEnd w:id="158"/>
      <w:bookmarkEnd w:id="159"/>
      <w:bookmarkEnd w:id="160"/>
    </w:p>
    <w:p w14:paraId="310CBFE5" w14:textId="77777777" w:rsidR="00A65F5F" w:rsidRPr="00670E95" w:rsidRDefault="00A65F5F" w:rsidP="00A65F5F">
      <w:pPr>
        <w:ind w:left="-540" w:right="-25"/>
        <w:rPr>
          <w:lang w:val="es-ES"/>
        </w:rPr>
      </w:pPr>
    </w:p>
    <w:p w14:paraId="512A808B" w14:textId="77777777" w:rsidR="00A65F5F" w:rsidRPr="00C06FE9" w:rsidRDefault="00A65F5F" w:rsidP="00A65F5F">
      <w:pPr>
        <w:ind w:right="-25"/>
        <w:rPr>
          <w:lang w:val="es-ES"/>
        </w:rPr>
      </w:pPr>
      <w:r w:rsidRPr="00C06FE9">
        <w:rPr>
          <w:lang w:val="es-ES"/>
        </w:rPr>
        <w:t>Las emisiones de valores estarán representadas por medio de anotación electrónica en cuenta.</w:t>
      </w:r>
    </w:p>
    <w:p w14:paraId="669231DB" w14:textId="77777777" w:rsidR="00A65F5F" w:rsidRDefault="00A65F5F" w:rsidP="00A65F5F">
      <w:pPr>
        <w:rPr>
          <w:lang w:val="es-ES"/>
        </w:rPr>
      </w:pPr>
      <w:r w:rsidRPr="00C06FE9">
        <w:rPr>
          <w:lang w:val="es-ES"/>
        </w:rPr>
        <w:t>La anotación electrónica en cuenta es un registro electrónico med</w:t>
      </w:r>
      <w:r>
        <w:rPr>
          <w:lang w:val="es-ES"/>
        </w:rPr>
        <w:t xml:space="preserve">iante el cual se representa un </w:t>
      </w:r>
      <w:r w:rsidRPr="00C06FE9">
        <w:rPr>
          <w:lang w:val="es-ES"/>
        </w:rPr>
        <w:t>valor.</w:t>
      </w:r>
    </w:p>
    <w:p w14:paraId="118F84D7" w14:textId="77777777" w:rsidR="00A65F5F" w:rsidRPr="00C06FE9" w:rsidRDefault="00A65F5F" w:rsidP="00A65F5F">
      <w:pPr>
        <w:rPr>
          <w:lang w:val="es-ES"/>
        </w:rPr>
      </w:pPr>
    </w:p>
    <w:p w14:paraId="49E7DD42" w14:textId="77777777" w:rsidR="00A65F5F" w:rsidRPr="00C06FE9" w:rsidRDefault="00A65F5F" w:rsidP="00A65F5F">
      <w:pPr>
        <w:shd w:val="clear" w:color="auto" w:fill="FFFFFF"/>
        <w:rPr>
          <w:lang w:val="es-ES"/>
        </w:rPr>
      </w:pPr>
      <w:r w:rsidRPr="00C06FE9">
        <w:rPr>
          <w:lang w:val="es-ES"/>
        </w:rPr>
        <w:t>La anotación electrónica en cuenta de las emisiones de valores de</w:t>
      </w:r>
      <w:r>
        <w:rPr>
          <w:lang w:val="es-ES"/>
        </w:rPr>
        <w:t>l Instituto Costarricense de Electricidad</w:t>
      </w:r>
      <w:r w:rsidRPr="00C06FE9">
        <w:rPr>
          <w:lang w:val="es-ES"/>
        </w:rPr>
        <w:t xml:space="preserve"> implica básicamente lo siguiente:</w:t>
      </w:r>
    </w:p>
    <w:p w14:paraId="5F200CCF"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la representación por medio de anotación electrónica en cuenta es irreversible, según lo establece el artículo 115 de la Ley Reguladora del Mercado de Valores y que los valores se constituyen como tales en virtud de su inscripción en el correspondiente registro contable</w:t>
      </w:r>
    </w:p>
    <w:p w14:paraId="6B984740"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el registro contable de valores mediante anotación electrónica en cuenta se rige por los principios de prioridad de la inscripción y tracto sucesivo. De conformidad con el principio de prioridad, una vez que se ha llevado a cabo una inscripción, no puede practicarse ninguna otra sobre el mismo valor que tenga origen en un hecho producido con anterioridad en lo que resulte opuesta o incompatible con la anterior.</w:t>
      </w:r>
    </w:p>
    <w:p w14:paraId="4BF24B39"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como consecuencia del principio de prioridad antes mencionado, las entidades adheridas deben practicar las operaciones correspondientes según el orden de presentación.   </w:t>
      </w:r>
    </w:p>
    <w:p w14:paraId="293CB5FB"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quien figure como titular en el registro de valores mediante anotación electrónica en cuenta se constituye como el titular de una cantidad determinada de valores, de manera que estos se identifiquen por saldos. Lo anterior, sin perjuicio de las necesidades de identificación que puedan derivarse de la constitución de derechos reales, gravámenes o anotaciones de embargo.</w:t>
      </w:r>
    </w:p>
    <w:p w14:paraId="191E23B8"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la transmisión es oponible a terceros desde el momento en que se haya practicado la inscripción en el registro contable.</w:t>
      </w:r>
    </w:p>
    <w:p w14:paraId="344D12E6" w14:textId="77777777" w:rsidR="00A65F5F" w:rsidRPr="00C06FE9" w:rsidRDefault="00A65F5F" w:rsidP="00A65F5F">
      <w:pPr>
        <w:shd w:val="clear" w:color="auto" w:fill="FFFFFF"/>
        <w:spacing w:before="100" w:beforeAutospacing="1" w:after="100" w:afterAutospacing="1"/>
        <w:rPr>
          <w:lang w:val="es-ES"/>
        </w:rPr>
      </w:pPr>
      <w:r w:rsidRPr="00C06FE9">
        <w:rPr>
          <w:lang w:val="es-ES"/>
        </w:rPr>
        <w:t>-       Que las entidades adheridas al Sistema Nacional de Registro de Anotaciones en Cuenta, son las únicas competentes para emitir constancias de titularidad sobre dichos valores.</w:t>
      </w:r>
    </w:p>
    <w:p w14:paraId="0BDADF38" w14:textId="77777777" w:rsidR="00A65F5F" w:rsidRPr="00793576" w:rsidRDefault="00A65F5F" w:rsidP="00A65F5F">
      <w:pPr>
        <w:pStyle w:val="Ttulo3"/>
        <w:rPr>
          <w:rFonts w:ascii="Times New Roman" w:hAnsi="Times New Roman" w:cs="Times New Roman"/>
          <w:b/>
          <w:bCs w:val="0"/>
          <w:sz w:val="24"/>
          <w:szCs w:val="24"/>
          <w:lang w:val="es-ES"/>
        </w:rPr>
      </w:pPr>
      <w:bookmarkStart w:id="161" w:name="_Toc408497077"/>
      <w:bookmarkStart w:id="162" w:name="_Toc26357113"/>
      <w:bookmarkStart w:id="163" w:name="_Toc138664902"/>
      <w:r w:rsidRPr="00793576">
        <w:rPr>
          <w:rFonts w:ascii="Times New Roman" w:hAnsi="Times New Roman" w:cs="Times New Roman"/>
          <w:b/>
          <w:bCs w:val="0"/>
          <w:sz w:val="24"/>
          <w:szCs w:val="24"/>
          <w:lang w:val="es-ES"/>
        </w:rPr>
        <w:t>Lugar y mecanismo de pago de títulos y cupones:</w:t>
      </w:r>
      <w:bookmarkEnd w:id="161"/>
      <w:bookmarkEnd w:id="162"/>
      <w:bookmarkEnd w:id="163"/>
    </w:p>
    <w:p w14:paraId="66B21CC4" w14:textId="77777777" w:rsidR="00A65F5F" w:rsidRPr="00C06FE9" w:rsidRDefault="00A65F5F" w:rsidP="00A65F5F">
      <w:pPr>
        <w:rPr>
          <w:lang w:val="es-ES"/>
        </w:rPr>
      </w:pPr>
    </w:p>
    <w:p w14:paraId="5A067899" w14:textId="77777777" w:rsidR="00A65F5F" w:rsidRPr="00C06FE9" w:rsidRDefault="00A65F5F" w:rsidP="00A65F5F">
      <w:pPr>
        <w:rPr>
          <w:lang w:val="es-ES"/>
        </w:rPr>
      </w:pPr>
      <w:r w:rsidRPr="00C06FE9">
        <w:rPr>
          <w:lang w:val="es-ES"/>
        </w:rPr>
        <w:t>La empresa paga los intereses y el principal de los valores estandarizados mediante el siguiente mecanismo: depósito</w:t>
      </w:r>
      <w:r>
        <w:rPr>
          <w:lang w:val="es-ES"/>
        </w:rPr>
        <w:t xml:space="preserve"> en</w:t>
      </w:r>
      <w:r w:rsidRPr="00833339">
        <w:rPr>
          <w:lang w:val="es-ES"/>
        </w:rPr>
        <w:t xml:space="preserve"> </w:t>
      </w:r>
      <w:r>
        <w:rPr>
          <w:lang w:val="es-ES"/>
        </w:rPr>
        <w:t>el Sistema de Anotación en Cuenta del Banco Central de Costa Rica</w:t>
      </w:r>
      <w:r w:rsidRPr="00C06FE9">
        <w:rPr>
          <w:lang w:val="es-ES"/>
        </w:rPr>
        <w:t>, quien pagará a cada uno de los custodios para que éstos a su vez cancelen a los titulares de los valores.</w:t>
      </w:r>
    </w:p>
    <w:p w14:paraId="4571F6F9" w14:textId="77777777" w:rsidR="00A65F5F" w:rsidRPr="00670E95" w:rsidRDefault="00A65F5F" w:rsidP="00A65F5F">
      <w:pPr>
        <w:pStyle w:val="Ttulo3"/>
        <w:numPr>
          <w:ilvl w:val="2"/>
          <w:numId w:val="1"/>
        </w:numPr>
        <w:ind w:left="142" w:hanging="709"/>
      </w:pPr>
      <w:bookmarkStart w:id="164" w:name="_Toc208394617"/>
      <w:bookmarkStart w:id="165" w:name="_Toc210618828"/>
      <w:bookmarkStart w:id="166" w:name="_Toc210619110"/>
      <w:bookmarkStart w:id="167" w:name="_Toc210619335"/>
      <w:bookmarkStart w:id="168" w:name="_Toc210619842"/>
      <w:bookmarkEnd w:id="164"/>
      <w:bookmarkEnd w:id="165"/>
      <w:bookmarkEnd w:id="166"/>
      <w:bookmarkEnd w:id="167"/>
      <w:bookmarkEnd w:id="168"/>
      <w:r w:rsidRPr="00670E95">
        <w:t xml:space="preserve"> </w:t>
      </w:r>
      <w:bookmarkStart w:id="169" w:name="_Toc304737159"/>
      <w:bookmarkStart w:id="170" w:name="_Toc343675988"/>
      <w:bookmarkStart w:id="171" w:name="_Toc358619351"/>
      <w:bookmarkStart w:id="172" w:name="_Toc358620616"/>
      <w:bookmarkStart w:id="173" w:name="_Toc358621823"/>
      <w:bookmarkStart w:id="174" w:name="_Toc358622800"/>
      <w:bookmarkStart w:id="175" w:name="_Toc421264439"/>
      <w:bookmarkStart w:id="176" w:name="_Toc26357114"/>
      <w:bookmarkStart w:id="177" w:name="_Toc138664903"/>
      <w:r w:rsidRPr="00670E95">
        <w:t>Agente de Pago</w:t>
      </w:r>
      <w:bookmarkEnd w:id="169"/>
      <w:bookmarkEnd w:id="170"/>
      <w:bookmarkEnd w:id="171"/>
      <w:bookmarkEnd w:id="172"/>
      <w:bookmarkEnd w:id="173"/>
      <w:bookmarkEnd w:id="174"/>
      <w:bookmarkEnd w:id="175"/>
      <w:bookmarkEnd w:id="176"/>
      <w:bookmarkEnd w:id="177"/>
    </w:p>
    <w:p w14:paraId="401C91BD" w14:textId="77777777" w:rsidR="00A65F5F" w:rsidRPr="00670E95" w:rsidRDefault="00A65F5F" w:rsidP="00A65F5F">
      <w:pPr>
        <w:ind w:left="-540" w:right="-25"/>
        <w:rPr>
          <w:lang w:val="es-ES"/>
        </w:rPr>
      </w:pPr>
    </w:p>
    <w:p w14:paraId="230FCCFD" w14:textId="77777777" w:rsidR="00A65F5F" w:rsidRPr="00670E95" w:rsidRDefault="00A65F5F" w:rsidP="00A65F5F">
      <w:pPr>
        <w:ind w:right="-25"/>
        <w:rPr>
          <w:lang w:val="es-ES"/>
        </w:rPr>
      </w:pPr>
      <w:r>
        <w:rPr>
          <w:lang w:val="es-ES"/>
        </w:rPr>
        <w:t>El ICE hará los pagos por concepto de intereses y principal a través</w:t>
      </w:r>
      <w:r w:rsidRPr="00833339">
        <w:rPr>
          <w:lang w:val="es-ES"/>
        </w:rPr>
        <w:t xml:space="preserve"> </w:t>
      </w:r>
      <w:r>
        <w:rPr>
          <w:lang w:val="es-ES"/>
        </w:rPr>
        <w:t>del Sistema de Anotación en Cuenta del Banco Central de Costa Rica. Para tal efecto, el primero transferirá al</w:t>
      </w:r>
      <w:r w:rsidRPr="00833339">
        <w:rPr>
          <w:lang w:val="es-ES"/>
        </w:rPr>
        <w:t xml:space="preserve"> </w:t>
      </w:r>
      <w:r>
        <w:rPr>
          <w:lang w:val="es-ES"/>
        </w:rPr>
        <w:t>Sistema de Anotación en Cuenta del Banco Central de Costa Rica, los fondos necesarios para cubrir las obligaciones y esta última, a</w:t>
      </w:r>
      <w:r w:rsidRPr="001E30D8">
        <w:rPr>
          <w:lang w:val="es-ES"/>
        </w:rPr>
        <w:t xml:space="preserve"> su vez procederá a depositar a cada un</w:t>
      </w:r>
      <w:r>
        <w:rPr>
          <w:lang w:val="es-ES"/>
        </w:rPr>
        <w:t>a</w:t>
      </w:r>
      <w:r w:rsidRPr="001E30D8">
        <w:rPr>
          <w:lang w:val="es-ES"/>
        </w:rPr>
        <w:t xml:space="preserve"> de l</w:t>
      </w:r>
      <w:r>
        <w:rPr>
          <w:lang w:val="es-ES"/>
        </w:rPr>
        <w:t>a</w:t>
      </w:r>
      <w:r w:rsidRPr="001E30D8">
        <w:rPr>
          <w:lang w:val="es-ES"/>
        </w:rPr>
        <w:t xml:space="preserve">s </w:t>
      </w:r>
      <w:r>
        <w:rPr>
          <w:lang w:val="es-ES"/>
        </w:rPr>
        <w:t>entidades de custodia</w:t>
      </w:r>
      <w:r w:rsidRPr="001E30D8">
        <w:rPr>
          <w:lang w:val="es-ES"/>
        </w:rPr>
        <w:t>, quienes pagar</w:t>
      </w:r>
      <w:r>
        <w:rPr>
          <w:lang w:val="es-ES"/>
        </w:rPr>
        <w:t>á</w:t>
      </w:r>
      <w:r w:rsidRPr="001E30D8">
        <w:rPr>
          <w:lang w:val="es-ES"/>
        </w:rPr>
        <w:t>n a sus inversionistas los intereses y principal correspondientes</w:t>
      </w:r>
      <w:r w:rsidRPr="00670E95">
        <w:rPr>
          <w:lang w:val="es-ES"/>
        </w:rPr>
        <w:t>.</w:t>
      </w:r>
    </w:p>
    <w:p w14:paraId="3037CAC5" w14:textId="77777777" w:rsidR="00A65F5F" w:rsidRDefault="00A65F5F" w:rsidP="00A65F5F">
      <w:pPr>
        <w:ind w:right="-25"/>
        <w:rPr>
          <w:lang w:val="es-ES"/>
        </w:rPr>
      </w:pPr>
    </w:p>
    <w:p w14:paraId="676ABEA2" w14:textId="77777777" w:rsidR="00A65F5F" w:rsidRPr="00670E95" w:rsidRDefault="00A65F5F" w:rsidP="00A65F5F">
      <w:pPr>
        <w:pStyle w:val="Ttulo3"/>
        <w:numPr>
          <w:ilvl w:val="2"/>
          <w:numId w:val="1"/>
        </w:numPr>
        <w:ind w:left="142" w:hanging="709"/>
      </w:pPr>
      <w:bookmarkStart w:id="178" w:name="_Toc304737161"/>
      <w:bookmarkStart w:id="179" w:name="_Toc343675990"/>
      <w:bookmarkStart w:id="180" w:name="_Toc358619353"/>
      <w:bookmarkStart w:id="181" w:name="_Toc358620618"/>
      <w:bookmarkStart w:id="182" w:name="_Toc358621825"/>
      <w:bookmarkStart w:id="183" w:name="_Toc358622802"/>
      <w:bookmarkStart w:id="184" w:name="_Toc421264441"/>
      <w:bookmarkStart w:id="185" w:name="_Toc26357115"/>
      <w:bookmarkStart w:id="186" w:name="_Toc138664904"/>
      <w:r>
        <w:t>Tratamiento tributario</w:t>
      </w:r>
      <w:bookmarkEnd w:id="178"/>
      <w:bookmarkEnd w:id="179"/>
      <w:bookmarkEnd w:id="180"/>
      <w:bookmarkEnd w:id="181"/>
      <w:bookmarkEnd w:id="182"/>
      <w:bookmarkEnd w:id="183"/>
      <w:bookmarkEnd w:id="184"/>
      <w:bookmarkEnd w:id="185"/>
      <w:bookmarkEnd w:id="186"/>
    </w:p>
    <w:p w14:paraId="0520293E" w14:textId="77777777" w:rsidR="00A65F5F" w:rsidRPr="00670E95" w:rsidRDefault="00A65F5F" w:rsidP="00A65F5F">
      <w:pPr>
        <w:ind w:left="-540" w:right="-25"/>
        <w:rPr>
          <w:lang w:val="es-ES"/>
        </w:rPr>
      </w:pPr>
    </w:p>
    <w:p w14:paraId="3DDAE193" w14:textId="77777777" w:rsidR="00A65F5F" w:rsidRPr="00C95960" w:rsidRDefault="00A65F5F" w:rsidP="00A65F5F">
      <w:pPr>
        <w:rPr>
          <w:lang w:val="es-ES"/>
        </w:rPr>
      </w:pPr>
      <w:r w:rsidRPr="00C95960">
        <w:rPr>
          <w:lang w:val="es-ES"/>
        </w:rPr>
        <w:t xml:space="preserve">El tratamiento tributario de las emisiones se encuentra sujeto al ordenamiento jurídico costarricense, de conformidad con lo dispuesto en la Ley No. 7092, Ley del Impuesto sobre la Renta, reformada por la Ley No. 9635 Ley de Fortalecimiento de las Finanzas Públicas, su reglamento y los pronunciamientos de la Autoridad Tributaria Costarricense.  El emisor es responsable de proceder de conformidad con ese ámbito normativo.  Es responsabilidad del adquirente de los valores verificar el tratamiento tributario aplicable a su caso particular.  </w:t>
      </w:r>
    </w:p>
    <w:p w14:paraId="110CAB22" w14:textId="77777777" w:rsidR="00A65F5F" w:rsidRPr="00C95960" w:rsidRDefault="00A65F5F" w:rsidP="00A65F5F">
      <w:pPr>
        <w:rPr>
          <w:lang w:val="es-ES"/>
        </w:rPr>
      </w:pPr>
    </w:p>
    <w:p w14:paraId="2E0DEBF4" w14:textId="77777777" w:rsidR="00A65F5F" w:rsidRPr="00C95960" w:rsidRDefault="00A65F5F" w:rsidP="00A65F5F">
      <w:pPr>
        <w:rPr>
          <w:lang w:val="es-ES"/>
        </w:rPr>
      </w:pPr>
      <w:r w:rsidRPr="00C95960">
        <w:rPr>
          <w:lang w:val="es-ES"/>
        </w:rPr>
        <w:t>Si la emisión es colocada fuera del territorio costarricense, el inversionista es responsable de verificar el tratamiento tributario aplicable en la jurisdicción donde lo adquiera.  Las modificaciones futuras en la tasa impositiva aplicable a los intereses serán asumidas directamente por los inversionistas, todo de conformidad con el marco legal vigente.</w:t>
      </w:r>
    </w:p>
    <w:p w14:paraId="6721B6BF" w14:textId="77777777" w:rsidR="00A65F5F" w:rsidRPr="00C95960" w:rsidRDefault="00A65F5F" w:rsidP="00A65F5F">
      <w:pPr>
        <w:tabs>
          <w:tab w:val="left" w:pos="9270"/>
        </w:tabs>
        <w:rPr>
          <w:highlight w:val="yellow"/>
        </w:rPr>
      </w:pPr>
    </w:p>
    <w:p w14:paraId="136CA5B1" w14:textId="77777777" w:rsidR="00A65F5F" w:rsidRPr="00670E95" w:rsidRDefault="00A65F5F" w:rsidP="00A65F5F">
      <w:pPr>
        <w:pStyle w:val="Ttulo3"/>
        <w:numPr>
          <w:ilvl w:val="2"/>
          <w:numId w:val="1"/>
        </w:numPr>
        <w:ind w:left="142" w:hanging="709"/>
      </w:pPr>
      <w:bookmarkStart w:id="187" w:name="_Toc304737162"/>
      <w:bookmarkStart w:id="188" w:name="_Toc343675991"/>
      <w:bookmarkStart w:id="189" w:name="_Toc358619354"/>
      <w:bookmarkStart w:id="190" w:name="_Toc358620619"/>
      <w:bookmarkStart w:id="191" w:name="_Toc358621826"/>
      <w:bookmarkStart w:id="192" w:name="_Toc358622803"/>
      <w:bookmarkStart w:id="193" w:name="_Toc421264442"/>
      <w:bookmarkStart w:id="194" w:name="_Toc26357116"/>
      <w:bookmarkStart w:id="195" w:name="_Toc138664905"/>
      <w:r w:rsidRPr="00670E95">
        <w:t>Emisiones inscritas en otros mercados</w:t>
      </w:r>
      <w:bookmarkEnd w:id="187"/>
      <w:bookmarkEnd w:id="188"/>
      <w:bookmarkEnd w:id="189"/>
      <w:bookmarkEnd w:id="190"/>
      <w:bookmarkEnd w:id="191"/>
      <w:bookmarkEnd w:id="192"/>
      <w:bookmarkEnd w:id="193"/>
      <w:bookmarkEnd w:id="194"/>
      <w:bookmarkEnd w:id="195"/>
    </w:p>
    <w:p w14:paraId="4A1D24C8" w14:textId="77777777" w:rsidR="00A65F5F" w:rsidRPr="00670E95" w:rsidRDefault="00A65F5F" w:rsidP="00A65F5F">
      <w:pPr>
        <w:ind w:left="-540" w:right="-25"/>
        <w:rPr>
          <w:lang w:val="es-ES"/>
        </w:rPr>
      </w:pPr>
    </w:p>
    <w:p w14:paraId="5B18F04F" w14:textId="0EF658CC" w:rsidR="00A65F5F" w:rsidRDefault="00A65F5F" w:rsidP="00A65F5F">
      <w:pPr>
        <w:ind w:right="-25"/>
        <w:rPr>
          <w:lang w:val="es-ES"/>
        </w:rPr>
      </w:pPr>
      <w:r>
        <w:rPr>
          <w:lang w:val="es-ES"/>
        </w:rPr>
        <w:t xml:space="preserve">Los bonos del ICE fueron registrados para ser transferidos mediante los registros mantenidos por Euroclear y Clearstream en Luxemburgo, y de acuerdo con la regulación S del “Security Act of 1933 y sus enmiendas” de los Estados Unidos. </w:t>
      </w:r>
    </w:p>
    <w:p w14:paraId="1BB93472" w14:textId="77777777" w:rsidR="00923094" w:rsidRDefault="00923094" w:rsidP="00A65F5F">
      <w:pPr>
        <w:ind w:right="-25"/>
        <w:rPr>
          <w:lang w:val="es-ES"/>
        </w:rPr>
      </w:pPr>
    </w:p>
    <w:tbl>
      <w:tblPr>
        <w:tblW w:w="9420" w:type="dxa"/>
        <w:jc w:val="center"/>
        <w:tblCellMar>
          <w:left w:w="70" w:type="dxa"/>
          <w:right w:w="70" w:type="dxa"/>
        </w:tblCellMar>
        <w:tblLook w:val="04A0" w:firstRow="1" w:lastRow="0" w:firstColumn="1" w:lastColumn="0" w:noHBand="0" w:noVBand="1"/>
      </w:tblPr>
      <w:tblGrid>
        <w:gridCol w:w="3040"/>
        <w:gridCol w:w="3300"/>
        <w:gridCol w:w="3080"/>
      </w:tblGrid>
      <w:tr w:rsidR="00DF0770" w:rsidRPr="00DF0770" w14:paraId="583ABAFF" w14:textId="77777777" w:rsidTr="00BA08EC">
        <w:trPr>
          <w:trHeight w:val="315"/>
          <w:jc w:val="center"/>
        </w:trPr>
        <w:tc>
          <w:tcPr>
            <w:tcW w:w="30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D56DBD3" w14:textId="77777777" w:rsidR="00DF0770" w:rsidRPr="00DF0770" w:rsidRDefault="00DF0770" w:rsidP="00DF0770">
            <w:pPr>
              <w:ind w:right="0"/>
              <w:jc w:val="left"/>
              <w:rPr>
                <w:b/>
                <w:bCs/>
                <w:color w:val="FFFFFF"/>
                <w:lang w:val="es-CR" w:eastAsia="es-CR"/>
              </w:rPr>
            </w:pPr>
            <w:r w:rsidRPr="00DF0770">
              <w:rPr>
                <w:b/>
                <w:bCs/>
                <w:color w:val="FFFFFF"/>
                <w:lang w:val="es-CR" w:eastAsia="es-CR"/>
              </w:rPr>
              <w:t>Monto principal</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083C1E93" w14:textId="77777777" w:rsidR="00DF0770" w:rsidRPr="00DF0770" w:rsidRDefault="00DF0770" w:rsidP="00DF0770">
            <w:pPr>
              <w:ind w:right="0"/>
              <w:jc w:val="right"/>
              <w:rPr>
                <w:color w:val="000000"/>
                <w:lang w:val="es-CR" w:eastAsia="es-CR"/>
              </w:rPr>
            </w:pPr>
            <w:r w:rsidRPr="00DF0770">
              <w:rPr>
                <w:color w:val="000000"/>
                <w:lang w:val="es-CR" w:eastAsia="es-CR"/>
              </w:rPr>
              <w:t xml:space="preserve">$500,000,000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56D96B1" w14:textId="77777777" w:rsidR="00DF0770" w:rsidRPr="00DF0770" w:rsidRDefault="00DF0770" w:rsidP="00DF0770">
            <w:pPr>
              <w:ind w:right="0"/>
              <w:jc w:val="right"/>
              <w:rPr>
                <w:color w:val="000000"/>
                <w:lang w:val="es-CR" w:eastAsia="es-CR"/>
              </w:rPr>
            </w:pPr>
            <w:r w:rsidRPr="00DF0770">
              <w:rPr>
                <w:color w:val="000000"/>
                <w:lang w:val="es-CR" w:eastAsia="es-CR"/>
              </w:rPr>
              <w:t xml:space="preserve">$300,000,000 </w:t>
            </w:r>
          </w:p>
        </w:tc>
      </w:tr>
      <w:tr w:rsidR="00DF0770" w:rsidRPr="00DF0770" w14:paraId="6999961A" w14:textId="77777777" w:rsidTr="00BA08EC">
        <w:trPr>
          <w:trHeight w:val="315"/>
          <w:jc w:val="center"/>
        </w:trPr>
        <w:tc>
          <w:tcPr>
            <w:tcW w:w="3040" w:type="dxa"/>
            <w:tcBorders>
              <w:top w:val="nil"/>
              <w:left w:val="single" w:sz="4" w:space="0" w:color="auto"/>
              <w:bottom w:val="single" w:sz="4" w:space="0" w:color="auto"/>
              <w:right w:val="single" w:sz="4" w:space="0" w:color="auto"/>
            </w:tcBorders>
            <w:shd w:val="clear" w:color="000000" w:fill="002060"/>
            <w:noWrap/>
            <w:vAlign w:val="bottom"/>
            <w:hideMark/>
          </w:tcPr>
          <w:p w14:paraId="6024B967" w14:textId="77777777" w:rsidR="00DF0770" w:rsidRPr="00DF0770" w:rsidRDefault="00DF0770" w:rsidP="00DF0770">
            <w:pPr>
              <w:ind w:right="0"/>
              <w:jc w:val="left"/>
              <w:rPr>
                <w:b/>
                <w:bCs/>
                <w:color w:val="FFFFFF"/>
                <w:lang w:val="es-CR" w:eastAsia="es-CR"/>
              </w:rPr>
            </w:pPr>
            <w:r w:rsidRPr="00DF0770">
              <w:rPr>
                <w:b/>
                <w:bCs/>
                <w:color w:val="FFFFFF"/>
                <w:lang w:val="es-CR" w:eastAsia="es-CR"/>
              </w:rPr>
              <w:t>Formato</w:t>
            </w:r>
          </w:p>
        </w:tc>
        <w:tc>
          <w:tcPr>
            <w:tcW w:w="3300" w:type="dxa"/>
            <w:tcBorders>
              <w:top w:val="nil"/>
              <w:left w:val="nil"/>
              <w:bottom w:val="single" w:sz="4" w:space="0" w:color="auto"/>
              <w:right w:val="single" w:sz="4" w:space="0" w:color="auto"/>
            </w:tcBorders>
            <w:shd w:val="clear" w:color="auto" w:fill="auto"/>
            <w:noWrap/>
            <w:vAlign w:val="bottom"/>
            <w:hideMark/>
          </w:tcPr>
          <w:p w14:paraId="7BE98C6A" w14:textId="77777777" w:rsidR="00DF0770" w:rsidRPr="00DF0770" w:rsidRDefault="00DF0770" w:rsidP="00DF0770">
            <w:pPr>
              <w:ind w:right="0"/>
              <w:jc w:val="right"/>
              <w:rPr>
                <w:color w:val="000000"/>
                <w:lang w:val="es-CR" w:eastAsia="es-CR"/>
              </w:rPr>
            </w:pPr>
            <w:r w:rsidRPr="00DF0770">
              <w:rPr>
                <w:color w:val="000000"/>
                <w:lang w:val="es-CR" w:eastAsia="es-CR"/>
              </w:rPr>
              <w:t>Regla 144 A / Regulación S</w:t>
            </w:r>
          </w:p>
        </w:tc>
        <w:tc>
          <w:tcPr>
            <w:tcW w:w="3080" w:type="dxa"/>
            <w:tcBorders>
              <w:top w:val="nil"/>
              <w:left w:val="nil"/>
              <w:bottom w:val="single" w:sz="4" w:space="0" w:color="auto"/>
              <w:right w:val="single" w:sz="4" w:space="0" w:color="auto"/>
            </w:tcBorders>
            <w:shd w:val="clear" w:color="auto" w:fill="auto"/>
            <w:noWrap/>
            <w:vAlign w:val="bottom"/>
            <w:hideMark/>
          </w:tcPr>
          <w:p w14:paraId="49BCC335" w14:textId="77777777" w:rsidR="00DF0770" w:rsidRPr="00DF0770" w:rsidRDefault="00DF0770" w:rsidP="00DF0770">
            <w:pPr>
              <w:ind w:right="0"/>
              <w:jc w:val="right"/>
              <w:rPr>
                <w:color w:val="000000"/>
                <w:lang w:val="es-CR" w:eastAsia="es-CR"/>
              </w:rPr>
            </w:pPr>
            <w:r w:rsidRPr="00DF0770">
              <w:rPr>
                <w:color w:val="000000"/>
                <w:lang w:val="es-CR" w:eastAsia="es-CR"/>
              </w:rPr>
              <w:t>Regla 144 A / Regulación S</w:t>
            </w:r>
          </w:p>
        </w:tc>
      </w:tr>
      <w:tr w:rsidR="00DF0770" w:rsidRPr="00DF0770" w14:paraId="1172B141" w14:textId="77777777" w:rsidTr="00BA08EC">
        <w:trPr>
          <w:trHeight w:val="315"/>
          <w:jc w:val="center"/>
        </w:trPr>
        <w:tc>
          <w:tcPr>
            <w:tcW w:w="3040" w:type="dxa"/>
            <w:tcBorders>
              <w:top w:val="nil"/>
              <w:left w:val="single" w:sz="4" w:space="0" w:color="auto"/>
              <w:bottom w:val="single" w:sz="4" w:space="0" w:color="auto"/>
              <w:right w:val="single" w:sz="4" w:space="0" w:color="auto"/>
            </w:tcBorders>
            <w:shd w:val="clear" w:color="000000" w:fill="002060"/>
            <w:noWrap/>
            <w:vAlign w:val="bottom"/>
            <w:hideMark/>
          </w:tcPr>
          <w:p w14:paraId="44205915" w14:textId="77777777" w:rsidR="00DF0770" w:rsidRPr="00DF0770" w:rsidRDefault="00DF0770" w:rsidP="00DF0770">
            <w:pPr>
              <w:ind w:right="0"/>
              <w:jc w:val="left"/>
              <w:rPr>
                <w:b/>
                <w:bCs/>
                <w:color w:val="FFFFFF"/>
                <w:lang w:val="es-CR" w:eastAsia="es-CR"/>
              </w:rPr>
            </w:pPr>
            <w:r w:rsidRPr="00DF0770">
              <w:rPr>
                <w:b/>
                <w:bCs/>
                <w:color w:val="FFFFFF"/>
                <w:lang w:val="es-CR" w:eastAsia="es-CR"/>
              </w:rPr>
              <w:t>Pricing date</w:t>
            </w:r>
          </w:p>
        </w:tc>
        <w:tc>
          <w:tcPr>
            <w:tcW w:w="3300" w:type="dxa"/>
            <w:tcBorders>
              <w:top w:val="nil"/>
              <w:left w:val="nil"/>
              <w:bottom w:val="single" w:sz="4" w:space="0" w:color="auto"/>
              <w:right w:val="single" w:sz="4" w:space="0" w:color="auto"/>
            </w:tcBorders>
            <w:shd w:val="clear" w:color="auto" w:fill="auto"/>
            <w:noWrap/>
            <w:vAlign w:val="bottom"/>
            <w:hideMark/>
          </w:tcPr>
          <w:p w14:paraId="28065B37" w14:textId="77777777" w:rsidR="00DF0770" w:rsidRPr="00DF0770" w:rsidRDefault="00DF0770" w:rsidP="00DF0770">
            <w:pPr>
              <w:ind w:right="0"/>
              <w:jc w:val="right"/>
              <w:rPr>
                <w:color w:val="000000"/>
                <w:lang w:val="es-CR" w:eastAsia="es-CR"/>
              </w:rPr>
            </w:pPr>
            <w:r w:rsidRPr="00DF0770">
              <w:rPr>
                <w:color w:val="000000"/>
                <w:lang w:val="es-CR" w:eastAsia="es-CR"/>
              </w:rPr>
              <w:t>08 de mayo de 2013</w:t>
            </w:r>
          </w:p>
        </w:tc>
        <w:tc>
          <w:tcPr>
            <w:tcW w:w="3080" w:type="dxa"/>
            <w:tcBorders>
              <w:top w:val="nil"/>
              <w:left w:val="nil"/>
              <w:bottom w:val="single" w:sz="4" w:space="0" w:color="auto"/>
              <w:right w:val="single" w:sz="4" w:space="0" w:color="auto"/>
            </w:tcBorders>
            <w:shd w:val="clear" w:color="auto" w:fill="auto"/>
            <w:noWrap/>
            <w:vAlign w:val="bottom"/>
            <w:hideMark/>
          </w:tcPr>
          <w:p w14:paraId="16E605A1" w14:textId="77777777" w:rsidR="00DF0770" w:rsidRPr="00DF0770" w:rsidRDefault="00DF0770" w:rsidP="00DF0770">
            <w:pPr>
              <w:ind w:right="0"/>
              <w:jc w:val="right"/>
              <w:rPr>
                <w:color w:val="000000"/>
                <w:lang w:val="es-CR" w:eastAsia="es-CR"/>
              </w:rPr>
            </w:pPr>
            <w:r w:rsidRPr="00DF0770">
              <w:rPr>
                <w:color w:val="000000"/>
                <w:lang w:val="es-CR" w:eastAsia="es-CR"/>
              </w:rPr>
              <w:t>30 de setiembre de 2021</w:t>
            </w:r>
          </w:p>
        </w:tc>
      </w:tr>
      <w:tr w:rsidR="00DF0770" w:rsidRPr="00DF0770" w14:paraId="00B935BE" w14:textId="77777777" w:rsidTr="00BA08EC">
        <w:trPr>
          <w:trHeight w:val="315"/>
          <w:jc w:val="center"/>
        </w:trPr>
        <w:tc>
          <w:tcPr>
            <w:tcW w:w="3040" w:type="dxa"/>
            <w:tcBorders>
              <w:top w:val="nil"/>
              <w:left w:val="single" w:sz="4" w:space="0" w:color="auto"/>
              <w:bottom w:val="single" w:sz="4" w:space="0" w:color="auto"/>
              <w:right w:val="single" w:sz="4" w:space="0" w:color="auto"/>
            </w:tcBorders>
            <w:shd w:val="clear" w:color="000000" w:fill="002060"/>
            <w:noWrap/>
            <w:vAlign w:val="bottom"/>
            <w:hideMark/>
          </w:tcPr>
          <w:p w14:paraId="7806D431" w14:textId="77777777" w:rsidR="00DF0770" w:rsidRPr="00DF0770" w:rsidRDefault="00DF0770" w:rsidP="00DF0770">
            <w:pPr>
              <w:ind w:right="0"/>
              <w:jc w:val="left"/>
              <w:rPr>
                <w:b/>
                <w:bCs/>
                <w:color w:val="FFFFFF"/>
                <w:lang w:val="es-CR" w:eastAsia="es-CR"/>
              </w:rPr>
            </w:pPr>
            <w:r w:rsidRPr="00DF0770">
              <w:rPr>
                <w:b/>
                <w:bCs/>
                <w:color w:val="FFFFFF"/>
                <w:lang w:val="es-CR" w:eastAsia="es-CR"/>
              </w:rPr>
              <w:t>Rendimiento</w:t>
            </w:r>
          </w:p>
        </w:tc>
        <w:tc>
          <w:tcPr>
            <w:tcW w:w="3300" w:type="dxa"/>
            <w:tcBorders>
              <w:top w:val="nil"/>
              <w:left w:val="nil"/>
              <w:bottom w:val="single" w:sz="4" w:space="0" w:color="auto"/>
              <w:right w:val="single" w:sz="4" w:space="0" w:color="auto"/>
            </w:tcBorders>
            <w:shd w:val="clear" w:color="auto" w:fill="auto"/>
            <w:noWrap/>
            <w:vAlign w:val="bottom"/>
            <w:hideMark/>
          </w:tcPr>
          <w:p w14:paraId="390743E0" w14:textId="77777777" w:rsidR="00DF0770" w:rsidRPr="00DF0770" w:rsidRDefault="00DF0770" w:rsidP="00DF0770">
            <w:pPr>
              <w:ind w:right="0"/>
              <w:jc w:val="right"/>
              <w:rPr>
                <w:color w:val="000000"/>
                <w:lang w:val="es-CR" w:eastAsia="es-CR"/>
              </w:rPr>
            </w:pPr>
            <w:r w:rsidRPr="00DF0770">
              <w:rPr>
                <w:color w:val="000000"/>
                <w:lang w:val="es-CR" w:eastAsia="es-CR"/>
              </w:rPr>
              <w:t>6.375%</w:t>
            </w:r>
          </w:p>
        </w:tc>
        <w:tc>
          <w:tcPr>
            <w:tcW w:w="3080" w:type="dxa"/>
            <w:tcBorders>
              <w:top w:val="nil"/>
              <w:left w:val="nil"/>
              <w:bottom w:val="single" w:sz="4" w:space="0" w:color="auto"/>
              <w:right w:val="single" w:sz="4" w:space="0" w:color="auto"/>
            </w:tcBorders>
            <w:shd w:val="clear" w:color="auto" w:fill="auto"/>
            <w:noWrap/>
            <w:vAlign w:val="bottom"/>
            <w:hideMark/>
          </w:tcPr>
          <w:p w14:paraId="66C3CDC0" w14:textId="44C56F14" w:rsidR="00DF0770" w:rsidRPr="00DF0770" w:rsidRDefault="00DF0770" w:rsidP="00DF0770">
            <w:pPr>
              <w:ind w:right="0"/>
              <w:jc w:val="right"/>
              <w:rPr>
                <w:color w:val="000000"/>
                <w:lang w:val="es-CR" w:eastAsia="es-CR"/>
              </w:rPr>
            </w:pPr>
            <w:r w:rsidRPr="00DF0770">
              <w:rPr>
                <w:color w:val="000000"/>
                <w:lang w:val="es-CR" w:eastAsia="es-CR"/>
              </w:rPr>
              <w:t>6</w:t>
            </w:r>
            <w:r w:rsidR="00B637B0">
              <w:rPr>
                <w:color w:val="000000"/>
                <w:lang w:val="es-CR" w:eastAsia="es-CR"/>
              </w:rPr>
              <w:t>.</w:t>
            </w:r>
            <w:r w:rsidRPr="00DF0770">
              <w:rPr>
                <w:color w:val="000000"/>
                <w:lang w:val="es-CR" w:eastAsia="es-CR"/>
              </w:rPr>
              <w:t>75%</w:t>
            </w:r>
          </w:p>
        </w:tc>
      </w:tr>
      <w:tr w:rsidR="00DF0770" w:rsidRPr="00DF0770" w14:paraId="4AD531E1" w14:textId="77777777" w:rsidTr="00BA08EC">
        <w:trPr>
          <w:trHeight w:val="315"/>
          <w:jc w:val="center"/>
        </w:trPr>
        <w:tc>
          <w:tcPr>
            <w:tcW w:w="3040" w:type="dxa"/>
            <w:tcBorders>
              <w:top w:val="nil"/>
              <w:left w:val="single" w:sz="4" w:space="0" w:color="auto"/>
              <w:bottom w:val="single" w:sz="4" w:space="0" w:color="auto"/>
              <w:right w:val="single" w:sz="4" w:space="0" w:color="auto"/>
            </w:tcBorders>
            <w:shd w:val="clear" w:color="000000" w:fill="002060"/>
            <w:noWrap/>
            <w:vAlign w:val="bottom"/>
            <w:hideMark/>
          </w:tcPr>
          <w:p w14:paraId="5C4F5838" w14:textId="77777777" w:rsidR="00DF0770" w:rsidRPr="00DF0770" w:rsidRDefault="00DF0770" w:rsidP="00DF0770">
            <w:pPr>
              <w:ind w:right="0"/>
              <w:jc w:val="left"/>
              <w:rPr>
                <w:b/>
                <w:bCs/>
                <w:color w:val="FFFFFF"/>
                <w:lang w:val="es-CR" w:eastAsia="es-CR"/>
              </w:rPr>
            </w:pPr>
            <w:r w:rsidRPr="00DF0770">
              <w:rPr>
                <w:b/>
                <w:bCs/>
                <w:color w:val="FFFFFF"/>
                <w:lang w:val="es-CR" w:eastAsia="es-CR"/>
              </w:rPr>
              <w:t>Vencimiento</w:t>
            </w:r>
          </w:p>
        </w:tc>
        <w:tc>
          <w:tcPr>
            <w:tcW w:w="3300" w:type="dxa"/>
            <w:tcBorders>
              <w:top w:val="nil"/>
              <w:left w:val="nil"/>
              <w:bottom w:val="single" w:sz="4" w:space="0" w:color="auto"/>
              <w:right w:val="single" w:sz="4" w:space="0" w:color="auto"/>
            </w:tcBorders>
            <w:shd w:val="clear" w:color="auto" w:fill="auto"/>
            <w:noWrap/>
            <w:vAlign w:val="bottom"/>
            <w:hideMark/>
          </w:tcPr>
          <w:p w14:paraId="6AF83DE6" w14:textId="77777777" w:rsidR="00DF0770" w:rsidRPr="00DF0770" w:rsidRDefault="00DF0770" w:rsidP="00DF0770">
            <w:pPr>
              <w:ind w:right="0"/>
              <w:jc w:val="right"/>
              <w:rPr>
                <w:color w:val="000000"/>
                <w:lang w:val="es-CR" w:eastAsia="es-CR"/>
              </w:rPr>
            </w:pPr>
            <w:r w:rsidRPr="00DF0770">
              <w:rPr>
                <w:color w:val="000000"/>
                <w:lang w:val="es-CR" w:eastAsia="es-CR"/>
              </w:rPr>
              <w:t>15 de mayo de 2043</w:t>
            </w:r>
          </w:p>
        </w:tc>
        <w:tc>
          <w:tcPr>
            <w:tcW w:w="3080" w:type="dxa"/>
            <w:tcBorders>
              <w:top w:val="nil"/>
              <w:left w:val="nil"/>
              <w:bottom w:val="single" w:sz="4" w:space="0" w:color="auto"/>
              <w:right w:val="single" w:sz="4" w:space="0" w:color="auto"/>
            </w:tcBorders>
            <w:shd w:val="clear" w:color="auto" w:fill="auto"/>
            <w:noWrap/>
            <w:vAlign w:val="bottom"/>
            <w:hideMark/>
          </w:tcPr>
          <w:p w14:paraId="506B98E4" w14:textId="77777777" w:rsidR="00DF0770" w:rsidRPr="00DF0770" w:rsidRDefault="00DF0770" w:rsidP="00DF0770">
            <w:pPr>
              <w:ind w:right="0"/>
              <w:jc w:val="right"/>
              <w:rPr>
                <w:color w:val="000000"/>
                <w:lang w:val="es-CR" w:eastAsia="es-CR"/>
              </w:rPr>
            </w:pPr>
            <w:r w:rsidRPr="00DF0770">
              <w:rPr>
                <w:color w:val="000000"/>
                <w:lang w:val="es-CR" w:eastAsia="es-CR"/>
              </w:rPr>
              <w:t>07 de octubre de 2031</w:t>
            </w:r>
          </w:p>
        </w:tc>
      </w:tr>
    </w:tbl>
    <w:p w14:paraId="2839E908" w14:textId="5FB51CA0" w:rsidR="00A65F5F" w:rsidRDefault="00A65F5F" w:rsidP="00A65F5F">
      <w:pPr>
        <w:rPr>
          <w:lang w:val="es-ES"/>
        </w:rPr>
      </w:pPr>
      <w:r>
        <w:rPr>
          <w:lang w:val="es-ES"/>
        </w:rPr>
        <w:t>La serie</w:t>
      </w:r>
      <w:r w:rsidR="00C2370A">
        <w:rPr>
          <w:lang w:val="es-ES"/>
        </w:rPr>
        <w:t>s</w:t>
      </w:r>
      <w:r>
        <w:rPr>
          <w:lang w:val="es-ES"/>
        </w:rPr>
        <w:t xml:space="preserve"> </w:t>
      </w:r>
      <w:r w:rsidR="00C2370A">
        <w:rPr>
          <w:lang w:val="es-ES"/>
        </w:rPr>
        <w:t xml:space="preserve">E1y </w:t>
      </w:r>
      <w:r>
        <w:rPr>
          <w:lang w:val="es-ES"/>
        </w:rPr>
        <w:t>E2 perteneciente</w:t>
      </w:r>
      <w:r w:rsidR="00C2370A">
        <w:rPr>
          <w:lang w:val="es-ES"/>
        </w:rPr>
        <w:t>s</w:t>
      </w:r>
      <w:r>
        <w:rPr>
          <w:lang w:val="es-ES"/>
        </w:rPr>
        <w:t xml:space="preserve"> al Programa “E” de Bonos de Deuda Estandarizada</w:t>
      </w:r>
      <w:r w:rsidR="00C2370A">
        <w:rPr>
          <w:lang w:val="es-ES"/>
        </w:rPr>
        <w:t>, y F3 y F4</w:t>
      </w:r>
      <w:r>
        <w:rPr>
          <w:lang w:val="es-ES"/>
        </w:rPr>
        <w:t xml:space="preserve"> </w:t>
      </w:r>
      <w:r w:rsidR="00C2370A">
        <w:rPr>
          <w:lang w:val="es-ES"/>
        </w:rPr>
        <w:t xml:space="preserve">pertenecientes al Programa “F” de Bonos de Deuda Estandarizada, </w:t>
      </w:r>
      <w:r>
        <w:rPr>
          <w:lang w:val="es-ES"/>
        </w:rPr>
        <w:t>se encuentra</w:t>
      </w:r>
      <w:r w:rsidR="00C2370A">
        <w:rPr>
          <w:lang w:val="es-ES"/>
        </w:rPr>
        <w:t>n</w:t>
      </w:r>
      <w:r>
        <w:rPr>
          <w:lang w:val="es-ES"/>
        </w:rPr>
        <w:t xml:space="preserve"> inscrita</w:t>
      </w:r>
      <w:r w:rsidR="00C2370A">
        <w:rPr>
          <w:lang w:val="es-ES"/>
        </w:rPr>
        <w:t>s</w:t>
      </w:r>
      <w:r>
        <w:rPr>
          <w:lang w:val="es-ES"/>
        </w:rPr>
        <w:t xml:space="preserve"> también ante las autoridades bursátiles en El Salvador.</w:t>
      </w:r>
    </w:p>
    <w:p w14:paraId="42181AA4" w14:textId="6C517EA1" w:rsidR="00E97E85" w:rsidRDefault="00E97E85" w:rsidP="00A65F5F">
      <w:pPr>
        <w:rPr>
          <w:lang w:val="es-ES"/>
        </w:rPr>
      </w:pPr>
    </w:p>
    <w:p w14:paraId="0D73CDE5" w14:textId="77777777" w:rsidR="00E97E85" w:rsidRDefault="00E97E85" w:rsidP="00A65F5F">
      <w:pPr>
        <w:rPr>
          <w:lang w:val="es-ES"/>
        </w:rPr>
      </w:pPr>
    </w:p>
    <w:p w14:paraId="50AD9EA3" w14:textId="77777777" w:rsidR="00A65F5F" w:rsidRDefault="00A65F5F" w:rsidP="00A65F5F">
      <w:pPr>
        <w:pStyle w:val="Ttulo3"/>
        <w:numPr>
          <w:ilvl w:val="2"/>
          <w:numId w:val="1"/>
        </w:numPr>
        <w:ind w:left="142" w:hanging="709"/>
      </w:pPr>
      <w:bookmarkStart w:id="196" w:name="_Toc170110716"/>
      <w:bookmarkStart w:id="197" w:name="_Toc304737163"/>
      <w:bookmarkStart w:id="198" w:name="_Toc343675992"/>
      <w:bookmarkStart w:id="199" w:name="_Toc358619355"/>
      <w:bookmarkStart w:id="200" w:name="_Toc358620620"/>
      <w:bookmarkStart w:id="201" w:name="_Toc358621827"/>
      <w:bookmarkStart w:id="202" w:name="_Toc358622804"/>
      <w:bookmarkStart w:id="203" w:name="_Toc421264443"/>
      <w:bookmarkStart w:id="204" w:name="_Toc26357117"/>
      <w:bookmarkStart w:id="205" w:name="_Toc138664906"/>
      <w:r>
        <w:t>I</w:t>
      </w:r>
      <w:r w:rsidRPr="00670E95">
        <w:t>dentificación de los directores, gerentes y asesores involucrados en el proceso de oferta pública</w:t>
      </w:r>
      <w:bookmarkEnd w:id="196"/>
      <w:bookmarkEnd w:id="197"/>
      <w:bookmarkEnd w:id="198"/>
      <w:bookmarkEnd w:id="199"/>
      <w:bookmarkEnd w:id="200"/>
      <w:bookmarkEnd w:id="201"/>
      <w:bookmarkEnd w:id="202"/>
      <w:bookmarkEnd w:id="203"/>
      <w:bookmarkEnd w:id="204"/>
      <w:bookmarkEnd w:id="205"/>
    </w:p>
    <w:p w14:paraId="2FABBF0A" w14:textId="77777777" w:rsidR="00A65F5F" w:rsidRPr="00C91D99" w:rsidRDefault="00A65F5F" w:rsidP="00A65F5F">
      <w:pPr>
        <w:rPr>
          <w:b/>
          <w:sz w:val="20"/>
          <w:lang w:val="es-ES"/>
        </w:rPr>
      </w:pPr>
      <w:r w:rsidRPr="00C91D99">
        <w:rPr>
          <w:b/>
          <w:sz w:val="20"/>
          <w:lang w:val="es-ES"/>
        </w:rPr>
        <w:t>INSTITUTO COSTARRICENSE DE ELECTRICIDAD</w:t>
      </w:r>
    </w:p>
    <w:p w14:paraId="6ACCA4B8" w14:textId="77777777" w:rsidR="00A65F5F" w:rsidRPr="00670E95" w:rsidRDefault="00A65F5F" w:rsidP="00A65F5F">
      <w:pPr>
        <w:ind w:left="-540" w:right="-25"/>
        <w:rPr>
          <w:lang w:val="es-ES"/>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635"/>
        <w:gridCol w:w="2818"/>
      </w:tblGrid>
      <w:tr w:rsidR="00A65F5F" w:rsidRPr="00670E95" w14:paraId="0E0A9668" w14:textId="77777777" w:rsidTr="00E92822">
        <w:trPr>
          <w:jc w:val="center"/>
        </w:trPr>
        <w:tc>
          <w:tcPr>
            <w:tcW w:w="3060" w:type="dxa"/>
          </w:tcPr>
          <w:p w14:paraId="47D808A0" w14:textId="77777777" w:rsidR="00A65F5F" w:rsidRPr="00670E95" w:rsidRDefault="00A65F5F" w:rsidP="00E92822">
            <w:pPr>
              <w:rPr>
                <w:b/>
                <w:sz w:val="22"/>
                <w:szCs w:val="22"/>
              </w:rPr>
            </w:pPr>
            <w:r w:rsidRPr="00670E95">
              <w:rPr>
                <w:b/>
                <w:sz w:val="22"/>
                <w:szCs w:val="22"/>
              </w:rPr>
              <w:t>Nombre</w:t>
            </w:r>
          </w:p>
        </w:tc>
        <w:tc>
          <w:tcPr>
            <w:tcW w:w="3635" w:type="dxa"/>
          </w:tcPr>
          <w:p w14:paraId="45CFBD9D" w14:textId="77777777" w:rsidR="00A65F5F" w:rsidRPr="00670E95" w:rsidRDefault="00A65F5F" w:rsidP="00E92822">
            <w:pPr>
              <w:rPr>
                <w:b/>
                <w:sz w:val="22"/>
                <w:szCs w:val="22"/>
              </w:rPr>
            </w:pPr>
            <w:r w:rsidRPr="00670E95">
              <w:rPr>
                <w:b/>
                <w:sz w:val="22"/>
                <w:szCs w:val="22"/>
              </w:rPr>
              <w:t>Puesto</w:t>
            </w:r>
          </w:p>
        </w:tc>
        <w:tc>
          <w:tcPr>
            <w:tcW w:w="2818" w:type="dxa"/>
          </w:tcPr>
          <w:p w14:paraId="4DAA018E" w14:textId="77777777" w:rsidR="00A65F5F" w:rsidRPr="00670E95" w:rsidRDefault="00A65F5F" w:rsidP="00E92822">
            <w:pPr>
              <w:rPr>
                <w:b/>
                <w:sz w:val="22"/>
                <w:szCs w:val="22"/>
              </w:rPr>
            </w:pPr>
            <w:r w:rsidRPr="00670E95">
              <w:rPr>
                <w:b/>
                <w:sz w:val="22"/>
                <w:szCs w:val="22"/>
              </w:rPr>
              <w:t>Participación</w:t>
            </w:r>
          </w:p>
        </w:tc>
      </w:tr>
      <w:tr w:rsidR="00A65F5F" w:rsidRPr="00661E5F" w14:paraId="54F096C4" w14:textId="77777777" w:rsidTr="00E92822">
        <w:trPr>
          <w:trHeight w:val="552"/>
          <w:jc w:val="center"/>
        </w:trPr>
        <w:tc>
          <w:tcPr>
            <w:tcW w:w="3060" w:type="dxa"/>
          </w:tcPr>
          <w:p w14:paraId="4738C3E3" w14:textId="49BCD83C" w:rsidR="00A65F5F" w:rsidRPr="000B6740" w:rsidRDefault="000537B0" w:rsidP="00E92822">
            <w:pPr>
              <w:rPr>
                <w:bCs/>
                <w:sz w:val="22"/>
                <w:szCs w:val="22"/>
              </w:rPr>
            </w:pPr>
            <w:r>
              <w:rPr>
                <w:bCs/>
                <w:sz w:val="22"/>
                <w:szCs w:val="22"/>
              </w:rPr>
              <w:t>Marco Acuña Mora</w:t>
            </w:r>
          </w:p>
        </w:tc>
        <w:tc>
          <w:tcPr>
            <w:tcW w:w="3635" w:type="dxa"/>
          </w:tcPr>
          <w:p w14:paraId="67BFA677" w14:textId="257E7EBA" w:rsidR="00A65F5F" w:rsidRPr="000B6740" w:rsidRDefault="00A65F5F" w:rsidP="00820E40">
            <w:pPr>
              <w:rPr>
                <w:bCs/>
                <w:sz w:val="22"/>
                <w:szCs w:val="22"/>
              </w:rPr>
            </w:pPr>
            <w:r>
              <w:rPr>
                <w:bCs/>
                <w:sz w:val="22"/>
                <w:szCs w:val="22"/>
              </w:rPr>
              <w:t>President</w:t>
            </w:r>
            <w:r w:rsidR="000537B0">
              <w:rPr>
                <w:bCs/>
                <w:sz w:val="22"/>
                <w:szCs w:val="22"/>
              </w:rPr>
              <w:t>e</w:t>
            </w:r>
            <w:r w:rsidRPr="000B6740">
              <w:rPr>
                <w:bCs/>
                <w:sz w:val="22"/>
                <w:szCs w:val="22"/>
              </w:rPr>
              <w:t xml:space="preserve"> Ejecutiv</w:t>
            </w:r>
            <w:r w:rsidR="000537B0">
              <w:rPr>
                <w:bCs/>
                <w:sz w:val="22"/>
                <w:szCs w:val="22"/>
              </w:rPr>
              <w:t>o</w:t>
            </w:r>
          </w:p>
        </w:tc>
        <w:tc>
          <w:tcPr>
            <w:tcW w:w="2818" w:type="dxa"/>
          </w:tcPr>
          <w:p w14:paraId="3E621C9D" w14:textId="77777777" w:rsidR="00A65F5F" w:rsidRPr="000B6740" w:rsidRDefault="00A65F5F" w:rsidP="00E92822">
            <w:pPr>
              <w:rPr>
                <w:bCs/>
                <w:sz w:val="22"/>
                <w:szCs w:val="22"/>
              </w:rPr>
            </w:pPr>
            <w:r w:rsidRPr="000B6740">
              <w:rPr>
                <w:bCs/>
                <w:sz w:val="22"/>
                <w:szCs w:val="22"/>
              </w:rPr>
              <w:t>Representante Legal</w:t>
            </w:r>
          </w:p>
        </w:tc>
      </w:tr>
      <w:tr w:rsidR="00A65F5F" w:rsidRPr="00661E5F" w14:paraId="38547E48" w14:textId="77777777" w:rsidTr="00E92822">
        <w:trPr>
          <w:trHeight w:val="552"/>
          <w:jc w:val="center"/>
        </w:trPr>
        <w:tc>
          <w:tcPr>
            <w:tcW w:w="3060" w:type="dxa"/>
          </w:tcPr>
          <w:p w14:paraId="2CD4ADFA" w14:textId="00D0602B" w:rsidR="00A65F5F" w:rsidRPr="00661E5F" w:rsidRDefault="000537B0" w:rsidP="00E92822">
            <w:pPr>
              <w:rPr>
                <w:bCs/>
                <w:sz w:val="22"/>
                <w:szCs w:val="22"/>
              </w:rPr>
            </w:pPr>
            <w:r>
              <w:rPr>
                <w:bCs/>
                <w:sz w:val="22"/>
                <w:szCs w:val="22"/>
              </w:rPr>
              <w:t>Keiner Arce Guerrero</w:t>
            </w:r>
          </w:p>
        </w:tc>
        <w:tc>
          <w:tcPr>
            <w:tcW w:w="3635" w:type="dxa"/>
          </w:tcPr>
          <w:p w14:paraId="76232250" w14:textId="77777777" w:rsidR="00A65F5F" w:rsidRPr="00661E5F" w:rsidRDefault="00632D4D" w:rsidP="00E92822">
            <w:pPr>
              <w:rPr>
                <w:bCs/>
                <w:sz w:val="22"/>
                <w:szCs w:val="22"/>
              </w:rPr>
            </w:pPr>
            <w:r>
              <w:rPr>
                <w:bCs/>
                <w:sz w:val="22"/>
                <w:szCs w:val="22"/>
              </w:rPr>
              <w:t>Gerente de Finanzas</w:t>
            </w:r>
          </w:p>
        </w:tc>
        <w:tc>
          <w:tcPr>
            <w:tcW w:w="2818" w:type="dxa"/>
          </w:tcPr>
          <w:p w14:paraId="3CE856BE" w14:textId="77777777" w:rsidR="00A65F5F" w:rsidRPr="00661E5F" w:rsidRDefault="00632D4D" w:rsidP="00E92822">
            <w:pPr>
              <w:rPr>
                <w:bCs/>
                <w:sz w:val="22"/>
                <w:szCs w:val="22"/>
              </w:rPr>
            </w:pPr>
            <w:r w:rsidRPr="000B6740">
              <w:rPr>
                <w:bCs/>
                <w:sz w:val="22"/>
                <w:szCs w:val="22"/>
              </w:rPr>
              <w:t>Representante Legal</w:t>
            </w:r>
            <w:r w:rsidRPr="00661E5F">
              <w:rPr>
                <w:bCs/>
                <w:sz w:val="22"/>
                <w:szCs w:val="22"/>
              </w:rPr>
              <w:t xml:space="preserve"> </w:t>
            </w:r>
          </w:p>
        </w:tc>
      </w:tr>
      <w:tr w:rsidR="00A65F5F" w:rsidRPr="00661E5F" w14:paraId="0E2D8CCF" w14:textId="77777777" w:rsidTr="00E92822">
        <w:trPr>
          <w:trHeight w:val="552"/>
          <w:jc w:val="center"/>
        </w:trPr>
        <w:tc>
          <w:tcPr>
            <w:tcW w:w="3060" w:type="dxa"/>
          </w:tcPr>
          <w:p w14:paraId="1C7D6008" w14:textId="550606BF" w:rsidR="00A65F5F" w:rsidRPr="00661E5F" w:rsidRDefault="003F44F5" w:rsidP="00E92822">
            <w:pPr>
              <w:rPr>
                <w:bCs/>
                <w:sz w:val="22"/>
                <w:szCs w:val="22"/>
              </w:rPr>
            </w:pPr>
            <w:r>
              <w:rPr>
                <w:bCs/>
                <w:sz w:val="22"/>
                <w:szCs w:val="22"/>
              </w:rPr>
              <w:t>Laura Salas Wong</w:t>
            </w:r>
          </w:p>
        </w:tc>
        <w:tc>
          <w:tcPr>
            <w:tcW w:w="3635" w:type="dxa"/>
          </w:tcPr>
          <w:p w14:paraId="10D9DE83" w14:textId="00F50F04" w:rsidR="00A65F5F" w:rsidRPr="00661E5F" w:rsidRDefault="00A65F5F" w:rsidP="00F8773B">
            <w:pPr>
              <w:rPr>
                <w:bCs/>
                <w:sz w:val="22"/>
                <w:szCs w:val="22"/>
              </w:rPr>
            </w:pPr>
            <w:r>
              <w:rPr>
                <w:bCs/>
                <w:sz w:val="22"/>
                <w:szCs w:val="22"/>
              </w:rPr>
              <w:t>Director</w:t>
            </w:r>
            <w:r w:rsidR="003F44F5">
              <w:rPr>
                <w:bCs/>
                <w:sz w:val="22"/>
                <w:szCs w:val="22"/>
              </w:rPr>
              <w:t>a</w:t>
            </w:r>
            <w:r>
              <w:rPr>
                <w:bCs/>
                <w:sz w:val="22"/>
                <w:szCs w:val="22"/>
              </w:rPr>
              <w:t xml:space="preserve"> </w:t>
            </w:r>
            <w:r w:rsidR="00F8773B">
              <w:rPr>
                <w:bCs/>
                <w:sz w:val="22"/>
                <w:szCs w:val="22"/>
              </w:rPr>
              <w:t>Tesorería</w:t>
            </w:r>
          </w:p>
        </w:tc>
        <w:tc>
          <w:tcPr>
            <w:tcW w:w="2818" w:type="dxa"/>
          </w:tcPr>
          <w:p w14:paraId="113A05A2" w14:textId="68F7ABB1" w:rsidR="00A65F5F" w:rsidRPr="00661E5F" w:rsidRDefault="00A65F5F" w:rsidP="00E92822">
            <w:pPr>
              <w:rPr>
                <w:bCs/>
                <w:sz w:val="22"/>
                <w:szCs w:val="22"/>
              </w:rPr>
            </w:pPr>
            <w:r w:rsidRPr="00661E5F">
              <w:rPr>
                <w:bCs/>
                <w:sz w:val="22"/>
                <w:szCs w:val="22"/>
              </w:rPr>
              <w:t>Coordinador</w:t>
            </w:r>
            <w:r w:rsidR="003F44F5">
              <w:rPr>
                <w:bCs/>
                <w:sz w:val="22"/>
                <w:szCs w:val="22"/>
              </w:rPr>
              <w:t>a</w:t>
            </w:r>
          </w:p>
          <w:p w14:paraId="79F6DA9C" w14:textId="77777777" w:rsidR="00A65F5F" w:rsidRPr="00661E5F" w:rsidRDefault="00A65F5F" w:rsidP="00E92822">
            <w:pPr>
              <w:rPr>
                <w:bCs/>
                <w:sz w:val="22"/>
                <w:szCs w:val="22"/>
              </w:rPr>
            </w:pPr>
          </w:p>
        </w:tc>
      </w:tr>
      <w:tr w:rsidR="00A65F5F" w:rsidRPr="00661E5F" w14:paraId="4355D317" w14:textId="77777777" w:rsidTr="00E92822">
        <w:trPr>
          <w:trHeight w:val="552"/>
          <w:jc w:val="center"/>
        </w:trPr>
        <w:tc>
          <w:tcPr>
            <w:tcW w:w="3060" w:type="dxa"/>
          </w:tcPr>
          <w:p w14:paraId="047F97AD" w14:textId="77777777" w:rsidR="00A65F5F" w:rsidRPr="00661E5F" w:rsidRDefault="00A65F5F" w:rsidP="00E92822">
            <w:pPr>
              <w:rPr>
                <w:bCs/>
                <w:sz w:val="22"/>
                <w:szCs w:val="22"/>
              </w:rPr>
            </w:pPr>
            <w:r>
              <w:rPr>
                <w:bCs/>
                <w:sz w:val="22"/>
                <w:szCs w:val="22"/>
              </w:rPr>
              <w:t>Christian Ramírez Audelatt</w:t>
            </w:r>
          </w:p>
        </w:tc>
        <w:tc>
          <w:tcPr>
            <w:tcW w:w="3635" w:type="dxa"/>
          </w:tcPr>
          <w:p w14:paraId="2DEA7D59" w14:textId="77777777" w:rsidR="00A65F5F" w:rsidRPr="00661E5F" w:rsidRDefault="00A65F5F" w:rsidP="00E92822">
            <w:pPr>
              <w:rPr>
                <w:bCs/>
                <w:sz w:val="22"/>
                <w:szCs w:val="22"/>
              </w:rPr>
            </w:pPr>
            <w:r>
              <w:rPr>
                <w:bCs/>
                <w:sz w:val="22"/>
                <w:szCs w:val="22"/>
              </w:rPr>
              <w:t>Analista Financiero</w:t>
            </w:r>
          </w:p>
        </w:tc>
        <w:tc>
          <w:tcPr>
            <w:tcW w:w="2818" w:type="dxa"/>
          </w:tcPr>
          <w:p w14:paraId="17D78D56" w14:textId="77777777" w:rsidR="00A65F5F" w:rsidRPr="00661E5F" w:rsidRDefault="00632D4D" w:rsidP="00E92822">
            <w:pPr>
              <w:rPr>
                <w:bCs/>
                <w:sz w:val="22"/>
                <w:szCs w:val="22"/>
              </w:rPr>
            </w:pPr>
            <w:r>
              <w:rPr>
                <w:bCs/>
                <w:sz w:val="22"/>
                <w:szCs w:val="22"/>
              </w:rPr>
              <w:t>Analista</w:t>
            </w:r>
          </w:p>
        </w:tc>
      </w:tr>
    </w:tbl>
    <w:p w14:paraId="4E8FF1B2" w14:textId="77777777" w:rsidR="00A65F5F" w:rsidRPr="00661E5F" w:rsidRDefault="00A65F5F" w:rsidP="00A65F5F">
      <w:pPr>
        <w:ind w:left="708" w:right="-25" w:hanging="708"/>
      </w:pPr>
      <w:bookmarkStart w:id="206" w:name="_Toc170110717"/>
    </w:p>
    <w:p w14:paraId="0338196D" w14:textId="77777777" w:rsidR="00A65F5F" w:rsidRDefault="00A65F5F" w:rsidP="00A65F5F">
      <w:pPr>
        <w:ind w:left="708" w:right="-25" w:hanging="708"/>
      </w:pPr>
      <w:r w:rsidRPr="00661E5F">
        <w:rPr>
          <w:b/>
        </w:rPr>
        <w:t>Despacho de Auditoría Externa:</w:t>
      </w:r>
      <w:r w:rsidRPr="00661E5F">
        <w:t xml:space="preserve"> </w:t>
      </w:r>
      <w:r>
        <w:t>KPMG, S.A.</w:t>
      </w:r>
      <w:bookmarkStart w:id="207" w:name="_Toc304737164"/>
    </w:p>
    <w:p w14:paraId="1A342352" w14:textId="77777777" w:rsidR="00A65F5F" w:rsidRDefault="00A65F5F" w:rsidP="00A65F5F">
      <w:bookmarkStart w:id="208" w:name="_Toc343675993"/>
      <w:bookmarkStart w:id="209" w:name="_Toc358619356"/>
      <w:bookmarkStart w:id="210" w:name="_Toc358620621"/>
      <w:bookmarkStart w:id="211" w:name="_Toc358621828"/>
      <w:bookmarkStart w:id="212" w:name="_Toc358622805"/>
      <w:bookmarkStart w:id="213" w:name="_Toc421264444"/>
    </w:p>
    <w:p w14:paraId="5D3BC786" w14:textId="77777777" w:rsidR="00A65F5F" w:rsidRDefault="00A65F5F" w:rsidP="00A65F5F"/>
    <w:p w14:paraId="59623C24" w14:textId="77777777" w:rsidR="00F8773B" w:rsidRDefault="00F8773B" w:rsidP="00A65F5F"/>
    <w:p w14:paraId="28AA1077" w14:textId="77777777" w:rsidR="00F8773B" w:rsidRDefault="00F8773B" w:rsidP="00A65F5F"/>
    <w:p w14:paraId="1F46617A" w14:textId="77777777" w:rsidR="00F8773B" w:rsidRDefault="00F8773B" w:rsidP="00A65F5F"/>
    <w:p w14:paraId="29A4C76A" w14:textId="77777777" w:rsidR="00380BF1" w:rsidRDefault="00380BF1" w:rsidP="00A65F5F"/>
    <w:p w14:paraId="06A76215" w14:textId="77777777" w:rsidR="00380BF1" w:rsidRDefault="00380BF1" w:rsidP="00A65F5F"/>
    <w:p w14:paraId="3552DE88" w14:textId="77777777" w:rsidR="00380BF1" w:rsidRDefault="00380BF1" w:rsidP="00A65F5F"/>
    <w:p w14:paraId="1325FC75" w14:textId="77777777" w:rsidR="00380BF1" w:rsidRDefault="00380BF1" w:rsidP="00A65F5F"/>
    <w:p w14:paraId="0C2A5EB3" w14:textId="77777777" w:rsidR="00380BF1" w:rsidRDefault="00380BF1" w:rsidP="00A65F5F"/>
    <w:p w14:paraId="4F820615" w14:textId="77777777" w:rsidR="00380BF1" w:rsidRDefault="00380BF1" w:rsidP="00A65F5F"/>
    <w:p w14:paraId="6A163A4B" w14:textId="77777777" w:rsidR="00F8773B" w:rsidRDefault="00F8773B" w:rsidP="00A65F5F"/>
    <w:p w14:paraId="71C73931" w14:textId="77777777" w:rsidR="00F8773B" w:rsidRDefault="00F8773B" w:rsidP="00A65F5F"/>
    <w:p w14:paraId="02EA06DD" w14:textId="2832E0B7" w:rsidR="00F8773B" w:rsidRDefault="00F8773B" w:rsidP="00A65F5F"/>
    <w:p w14:paraId="42E39A55" w14:textId="023580F3" w:rsidR="00E97E85" w:rsidRDefault="00E97E85" w:rsidP="00A65F5F"/>
    <w:p w14:paraId="59A08B8B" w14:textId="38674995" w:rsidR="00E97E85" w:rsidRDefault="00E97E85" w:rsidP="00A65F5F"/>
    <w:p w14:paraId="6D7E9EE2" w14:textId="32790B6B" w:rsidR="00E97E85" w:rsidRDefault="00E97E85" w:rsidP="00A65F5F"/>
    <w:p w14:paraId="68B7D0ED" w14:textId="582F6373" w:rsidR="00E97E85" w:rsidRDefault="00E97E85" w:rsidP="00A65F5F"/>
    <w:p w14:paraId="4C7E1FC2" w14:textId="3CC1B9E6" w:rsidR="00A65F5F" w:rsidRPr="00D94792" w:rsidRDefault="009D6639" w:rsidP="00A65F5F">
      <w:pPr>
        <w:pStyle w:val="Ttulo1"/>
      </w:pPr>
      <w:bookmarkStart w:id="214" w:name="_Toc26357118"/>
      <w:bookmarkStart w:id="215" w:name="_Toc138664907"/>
      <w:r>
        <w:t>C</w:t>
      </w:r>
      <w:r w:rsidR="00A65F5F" w:rsidRPr="00D94792">
        <w:t>apítulo 2</w:t>
      </w:r>
      <w:bookmarkEnd w:id="207"/>
      <w:bookmarkEnd w:id="208"/>
      <w:bookmarkEnd w:id="209"/>
      <w:bookmarkEnd w:id="210"/>
      <w:bookmarkEnd w:id="211"/>
      <w:bookmarkEnd w:id="212"/>
      <w:bookmarkEnd w:id="213"/>
      <w:bookmarkEnd w:id="214"/>
      <w:bookmarkEnd w:id="215"/>
    </w:p>
    <w:p w14:paraId="1D952068" w14:textId="77777777" w:rsidR="00A65F5F" w:rsidRPr="005F4BE8" w:rsidRDefault="00A65F5F" w:rsidP="00A65F5F">
      <w:pPr>
        <w:pStyle w:val="Ttulo1"/>
      </w:pPr>
      <w:bookmarkStart w:id="216" w:name="_Toc26357119"/>
      <w:bookmarkStart w:id="217" w:name="_Toc138664908"/>
      <w:r>
        <w:t>Riesgos del Inversionista</w:t>
      </w:r>
      <w:bookmarkEnd w:id="216"/>
      <w:bookmarkEnd w:id="217"/>
    </w:p>
    <w:p w14:paraId="7D0901D4" w14:textId="77777777" w:rsidR="00A65F5F" w:rsidRPr="005F4BE8" w:rsidRDefault="00A65F5F" w:rsidP="00A65F5F">
      <w:pPr>
        <w:rPr>
          <w:color w:val="000000" w:themeColor="text1"/>
        </w:rPr>
      </w:pPr>
    </w:p>
    <w:p w14:paraId="5D98303A" w14:textId="77777777" w:rsidR="003C3EF9" w:rsidRPr="00B86064" w:rsidRDefault="003C3EF9" w:rsidP="003C3EF9">
      <w:pPr>
        <w:ind w:left="-540" w:right="-25"/>
        <w:rPr>
          <w:color w:val="000000" w:themeColor="text1"/>
        </w:rPr>
      </w:pPr>
      <w:bookmarkStart w:id="218" w:name="_Toc191194583"/>
      <w:bookmarkStart w:id="219" w:name="_Toc191377590"/>
      <w:bookmarkStart w:id="220" w:name="_Toc192577337"/>
      <w:bookmarkStart w:id="221" w:name="_Toc192591211"/>
      <w:bookmarkStart w:id="222" w:name="_Toc192925720"/>
      <w:bookmarkStart w:id="223" w:name="_Toc192925807"/>
      <w:bookmarkStart w:id="224" w:name="_Toc192933462"/>
      <w:bookmarkStart w:id="225" w:name="_Toc192933693"/>
      <w:bookmarkStart w:id="226" w:name="_Toc193006274"/>
      <w:bookmarkStart w:id="227" w:name="_Toc193006365"/>
      <w:bookmarkStart w:id="228" w:name="_Toc193006455"/>
      <w:bookmarkStart w:id="229" w:name="_Toc193006545"/>
      <w:bookmarkStart w:id="230" w:name="_Toc193006635"/>
      <w:bookmarkStart w:id="231" w:name="_Toc193006725"/>
      <w:bookmarkStart w:id="232" w:name="_Toc193114017"/>
      <w:bookmarkStart w:id="233" w:name="_Toc193185661"/>
      <w:bookmarkStart w:id="234" w:name="_Toc193188548"/>
      <w:bookmarkStart w:id="235" w:name="_Toc193200000"/>
      <w:bookmarkStart w:id="236" w:name="_Toc197158862"/>
      <w:bookmarkStart w:id="237" w:name="_Toc197160125"/>
      <w:bookmarkStart w:id="238" w:name="_Toc197235590"/>
      <w:bookmarkStart w:id="239" w:name="_Toc197235928"/>
      <w:bookmarkStart w:id="240" w:name="_Toc199652809"/>
      <w:bookmarkStart w:id="241" w:name="_Toc200335806"/>
      <w:bookmarkStart w:id="242" w:name="_Toc206844764"/>
      <w:bookmarkStart w:id="243" w:name="_Toc206905627"/>
      <w:bookmarkStart w:id="244" w:name="_Toc207095729"/>
      <w:bookmarkStart w:id="245" w:name="_Toc207098115"/>
      <w:bookmarkStart w:id="246" w:name="_Toc207098308"/>
      <w:bookmarkStart w:id="247" w:name="_Toc207098503"/>
      <w:bookmarkStart w:id="248" w:name="_Toc207098603"/>
      <w:bookmarkStart w:id="249" w:name="_Toc207098702"/>
      <w:bookmarkStart w:id="250" w:name="_Toc207103363"/>
      <w:bookmarkStart w:id="251" w:name="_Toc207178748"/>
      <w:bookmarkStart w:id="252" w:name="_Toc208394624"/>
      <w:bookmarkStart w:id="253" w:name="_Toc210618835"/>
      <w:bookmarkStart w:id="254" w:name="_Toc210619117"/>
      <w:bookmarkStart w:id="255" w:name="_Toc210619342"/>
      <w:bookmarkStart w:id="256" w:name="_Toc210619849"/>
      <w:bookmarkStart w:id="257" w:name="_Toc222025415"/>
      <w:bookmarkStart w:id="258" w:name="_Toc222030351"/>
      <w:bookmarkStart w:id="259" w:name="_Toc222134982"/>
      <w:bookmarkStart w:id="260" w:name="_Toc222675403"/>
      <w:bookmarkStart w:id="261" w:name="_Toc222828371"/>
      <w:bookmarkStart w:id="262" w:name="_Toc222828468"/>
      <w:bookmarkStart w:id="263" w:name="_Toc222887681"/>
      <w:bookmarkStart w:id="264" w:name="_Toc222912149"/>
      <w:bookmarkStart w:id="265" w:name="_Toc222915208"/>
      <w:bookmarkStart w:id="266" w:name="_Toc222915302"/>
      <w:bookmarkStart w:id="267" w:name="_Toc222919684"/>
      <w:bookmarkStart w:id="268" w:name="_Toc222919778"/>
      <w:bookmarkStart w:id="269" w:name="_Toc222919873"/>
      <w:bookmarkStart w:id="270" w:name="_Toc222920176"/>
      <w:bookmarkStart w:id="271" w:name="_Toc223164530"/>
      <w:bookmarkStart w:id="272" w:name="_Toc223175963"/>
      <w:bookmarkStart w:id="273" w:name="_Toc223337089"/>
      <w:bookmarkStart w:id="274" w:name="_Toc223337182"/>
      <w:bookmarkStart w:id="275" w:name="_Toc223342175"/>
      <w:bookmarkStart w:id="276" w:name="_Toc223357541"/>
      <w:bookmarkStart w:id="277" w:name="_Toc223357632"/>
      <w:bookmarkStart w:id="278" w:name="_Toc223491406"/>
      <w:bookmarkStart w:id="279" w:name="_Toc225051336"/>
      <w:bookmarkStart w:id="280" w:name="_Toc225073426"/>
      <w:bookmarkStart w:id="281" w:name="_Toc225078374"/>
      <w:bookmarkStart w:id="282" w:name="_Toc225078465"/>
      <w:bookmarkStart w:id="283" w:name="_Toc225079306"/>
      <w:bookmarkStart w:id="284" w:name="_Toc225148932"/>
      <w:bookmarkStart w:id="285" w:name="_Toc225149023"/>
      <w:bookmarkStart w:id="286" w:name="_Toc225149114"/>
      <w:bookmarkStart w:id="287" w:name="_Toc225154682"/>
      <w:bookmarkStart w:id="288" w:name="_Toc225156196"/>
      <w:bookmarkStart w:id="289" w:name="_Toc225160865"/>
      <w:bookmarkStart w:id="290" w:name="_Toc225223105"/>
      <w:bookmarkStart w:id="291" w:name="_Toc225241346"/>
      <w:bookmarkStart w:id="292" w:name="_Toc225242731"/>
      <w:bookmarkStart w:id="293" w:name="_Toc225242823"/>
      <w:bookmarkStart w:id="294" w:name="_Toc225307329"/>
      <w:bookmarkStart w:id="295" w:name="_Toc225307421"/>
      <w:bookmarkStart w:id="296" w:name="_Toc225912325"/>
      <w:bookmarkStart w:id="297" w:name="_Toc225912433"/>
      <w:bookmarkStart w:id="298" w:name="_Toc225912525"/>
      <w:bookmarkStart w:id="299" w:name="_Toc225912649"/>
      <w:bookmarkStart w:id="300" w:name="_Toc225912741"/>
      <w:bookmarkStart w:id="301" w:name="_Toc225912833"/>
      <w:bookmarkStart w:id="302" w:name="_Toc225912925"/>
      <w:bookmarkStart w:id="303" w:name="_Toc225913017"/>
      <w:bookmarkStart w:id="304" w:name="_Toc225913179"/>
      <w:bookmarkStart w:id="305" w:name="_Toc225913280"/>
      <w:bookmarkStart w:id="306" w:name="_Toc225913500"/>
      <w:bookmarkStart w:id="307" w:name="_Toc225913706"/>
      <w:bookmarkStart w:id="308" w:name="_Toc225913802"/>
      <w:bookmarkStart w:id="309" w:name="_Toc225913898"/>
      <w:bookmarkStart w:id="310" w:name="_Toc225913994"/>
      <w:bookmarkStart w:id="311" w:name="_Toc225914090"/>
      <w:bookmarkStart w:id="312" w:name="_Toc225914217"/>
      <w:bookmarkStart w:id="313" w:name="_Toc225914313"/>
      <w:bookmarkStart w:id="314" w:name="_Toc225914587"/>
      <w:bookmarkStart w:id="315" w:name="_Toc225914683"/>
      <w:bookmarkStart w:id="316" w:name="_Toc225914779"/>
      <w:bookmarkStart w:id="317" w:name="_Toc225914876"/>
      <w:bookmarkStart w:id="318" w:name="_Toc225914973"/>
      <w:bookmarkStart w:id="319" w:name="_Toc225915071"/>
      <w:bookmarkStart w:id="320" w:name="_Toc225921439"/>
      <w:bookmarkStart w:id="321" w:name="_Toc226779623"/>
      <w:bookmarkStart w:id="322" w:name="_Toc226807195"/>
      <w:bookmarkStart w:id="323" w:name="_Toc226807311"/>
      <w:bookmarkStart w:id="324" w:name="_Toc226807425"/>
      <w:bookmarkStart w:id="325" w:name="_Toc226807536"/>
      <w:bookmarkStart w:id="326" w:name="_Toc226808424"/>
      <w:bookmarkStart w:id="327" w:name="_Toc226808535"/>
      <w:bookmarkStart w:id="328" w:name="_Toc226809049"/>
      <w:bookmarkStart w:id="329" w:name="_Toc226809159"/>
      <w:bookmarkStart w:id="330" w:name="_Toc226809270"/>
      <w:bookmarkStart w:id="331" w:name="_Toc226809380"/>
      <w:bookmarkStart w:id="332" w:name="_Toc226809490"/>
      <w:bookmarkStart w:id="333" w:name="_Toc226809807"/>
      <w:bookmarkStart w:id="334" w:name="_Toc226810054"/>
      <w:bookmarkStart w:id="335" w:name="_Toc228013101"/>
      <w:bookmarkStart w:id="336" w:name="_Toc228084795"/>
      <w:bookmarkStart w:id="337" w:name="_Toc228087352"/>
      <w:bookmarkStart w:id="338" w:name="_Toc228098591"/>
      <w:bookmarkStart w:id="339" w:name="_Toc228696375"/>
      <w:bookmarkStart w:id="340" w:name="_Toc229149133"/>
      <w:bookmarkStart w:id="341" w:name="_Toc229149271"/>
      <w:bookmarkStart w:id="342" w:name="_Toc229150091"/>
      <w:bookmarkStart w:id="343" w:name="_Toc229150727"/>
      <w:bookmarkStart w:id="344" w:name="_Toc231981176"/>
      <w:bookmarkStart w:id="345" w:name="_Toc234672852"/>
      <w:bookmarkStart w:id="346" w:name="_Toc234672962"/>
      <w:bookmarkStart w:id="347" w:name="_Toc234673071"/>
      <w:bookmarkStart w:id="348" w:name="_Toc234673180"/>
      <w:bookmarkStart w:id="349" w:name="_Toc234673289"/>
      <w:bookmarkStart w:id="350" w:name="_Toc234673508"/>
      <w:bookmarkStart w:id="351" w:name="_Toc234673617"/>
      <w:bookmarkStart w:id="352" w:name="_Toc234744031"/>
      <w:bookmarkStart w:id="353" w:name="_Toc234744245"/>
      <w:bookmarkStart w:id="354" w:name="_Toc234750675"/>
      <w:bookmarkStart w:id="355" w:name="_Toc234750787"/>
      <w:bookmarkStart w:id="356" w:name="_Toc234923879"/>
      <w:bookmarkStart w:id="357" w:name="_Toc234925795"/>
      <w:bookmarkStart w:id="358" w:name="_Toc235615226"/>
      <w:bookmarkStart w:id="359" w:name="_Toc235616714"/>
      <w:bookmarkStart w:id="360" w:name="_Toc235856972"/>
      <w:bookmarkStart w:id="361" w:name="_Toc237334670"/>
      <w:bookmarkStart w:id="362" w:name="_Toc237919623"/>
      <w:bookmarkStart w:id="363" w:name="_Toc238276547"/>
      <w:bookmarkStart w:id="364" w:name="_Toc238869490"/>
      <w:bookmarkStart w:id="365" w:name="_Toc238873043"/>
      <w:bookmarkStart w:id="366" w:name="_Toc238873416"/>
      <w:bookmarkStart w:id="367" w:name="_Toc238876953"/>
      <w:bookmarkStart w:id="368" w:name="_Toc240107321"/>
      <w:bookmarkStart w:id="369" w:name="_Toc240159552"/>
      <w:bookmarkStart w:id="370" w:name="_Toc240159704"/>
      <w:bookmarkStart w:id="371" w:name="_Toc240255742"/>
      <w:bookmarkStart w:id="372" w:name="_Toc240267646"/>
      <w:bookmarkStart w:id="373" w:name="_Toc240267757"/>
      <w:bookmarkStart w:id="374" w:name="_Toc240268150"/>
      <w:bookmarkStart w:id="375" w:name="_Toc240268405"/>
      <w:bookmarkStart w:id="376" w:name="_Toc240268518"/>
      <w:bookmarkStart w:id="377" w:name="_Toc240268629"/>
      <w:bookmarkStart w:id="378" w:name="_Toc240454220"/>
      <w:bookmarkStart w:id="379" w:name="_Toc240697905"/>
      <w:bookmarkStart w:id="380" w:name="_Toc258937707"/>
      <w:bookmarkStart w:id="381" w:name="_Toc261418347"/>
      <w:bookmarkStart w:id="382" w:name="_Toc261458531"/>
      <w:bookmarkStart w:id="383" w:name="_Toc261458919"/>
      <w:bookmarkStart w:id="384" w:name="_Toc262203241"/>
      <w:bookmarkStart w:id="385" w:name="_Toc262218578"/>
      <w:bookmarkStart w:id="386" w:name="_Toc262319034"/>
      <w:bookmarkStart w:id="387" w:name="_Toc262458928"/>
      <w:bookmarkStart w:id="388" w:name="_Toc262459782"/>
      <w:bookmarkStart w:id="389" w:name="_Toc262460193"/>
      <w:bookmarkStart w:id="390" w:name="_Toc262460320"/>
      <w:bookmarkStart w:id="391" w:name="_Toc262460447"/>
      <w:bookmarkStart w:id="392" w:name="_Toc262480958"/>
      <w:bookmarkStart w:id="393" w:name="_Toc262483147"/>
      <w:bookmarkStart w:id="394" w:name="_Toc262483282"/>
      <w:bookmarkStart w:id="395" w:name="_Toc262483418"/>
      <w:bookmarkStart w:id="396" w:name="_Toc262483554"/>
      <w:bookmarkStart w:id="397" w:name="_Toc262483689"/>
      <w:bookmarkStart w:id="398" w:name="_Toc262483824"/>
      <w:bookmarkStart w:id="399" w:name="_Toc304736378"/>
      <w:bookmarkStart w:id="400" w:name="_Toc304736612"/>
      <w:bookmarkStart w:id="401" w:name="_Toc304736860"/>
      <w:bookmarkStart w:id="402" w:name="_Toc304737166"/>
      <w:bookmarkStart w:id="403" w:name="_Toc326700813"/>
      <w:bookmarkStart w:id="404" w:name="_Toc326701451"/>
      <w:bookmarkStart w:id="405" w:name="_Toc326730837"/>
      <w:bookmarkStart w:id="406" w:name="_Toc326731023"/>
      <w:bookmarkStart w:id="407" w:name="_Toc326731521"/>
      <w:bookmarkStart w:id="408" w:name="_Toc326732433"/>
      <w:bookmarkStart w:id="409" w:name="_Toc326734164"/>
      <w:bookmarkStart w:id="410" w:name="_Toc326735113"/>
      <w:bookmarkStart w:id="411" w:name="_Toc326735424"/>
      <w:bookmarkStart w:id="412" w:name="_Toc343675995"/>
      <w:bookmarkStart w:id="413" w:name="_Toc358619358"/>
      <w:bookmarkStart w:id="414" w:name="_Toc358620623"/>
      <w:bookmarkStart w:id="415" w:name="_Toc358621830"/>
      <w:bookmarkStart w:id="416" w:name="_Toc358622807"/>
      <w:bookmarkStart w:id="417" w:name="_Toc358622935"/>
      <w:bookmarkStart w:id="418" w:name="_Toc390247869"/>
      <w:bookmarkStart w:id="419" w:name="_Toc421258378"/>
      <w:bookmarkStart w:id="420" w:name="_Toc421264446"/>
      <w:bookmarkStart w:id="421" w:name="_Toc421264690"/>
      <w:bookmarkStart w:id="422" w:name="_Toc421265005"/>
      <w:bookmarkStart w:id="423" w:name="_Toc17011071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B86064">
        <w:rPr>
          <w:color w:val="000000" w:themeColor="text1"/>
        </w:rPr>
        <w:t>Los factores de riesgo definen algunas situaciones, circunstancias o eventos que pueden suscitarse en la empresa y reducir o limitar el rendimiento y liquidez de los valores objeto de la oferta pública y traducirse en pérdidas para el inversionista. Las siguientes anotaciones le servirán de orientación para evaluar el efecto que éstos podrían tener en su inversión.</w:t>
      </w:r>
    </w:p>
    <w:p w14:paraId="327F17FC" w14:textId="77777777" w:rsidR="003C3EF9" w:rsidRDefault="003C3EF9" w:rsidP="00A65F5F">
      <w:pPr>
        <w:ind w:left="-540" w:right="-25"/>
        <w:rPr>
          <w:color w:val="000000" w:themeColor="text1"/>
        </w:rPr>
      </w:pPr>
    </w:p>
    <w:p w14:paraId="50C7DC23" w14:textId="77777777" w:rsidR="00A65F5F" w:rsidRDefault="00A65F5F" w:rsidP="00A65F5F">
      <w:pPr>
        <w:ind w:left="-540" w:right="-25"/>
        <w:rPr>
          <w:color w:val="000000" w:themeColor="text1"/>
        </w:rPr>
      </w:pPr>
      <w:r>
        <w:rPr>
          <w:color w:val="000000" w:themeColor="text1"/>
        </w:rPr>
        <w:t xml:space="preserve">Con el propósito de contribuir con los posibles inversionistas del ICE, se enumeran algunos factores de riesgos que se podrían presentar en una empresa dedicada a la industria de electricidad y telecomunicaciones.  </w:t>
      </w:r>
    </w:p>
    <w:p w14:paraId="1E551065" w14:textId="77777777" w:rsidR="00A65F5F" w:rsidRDefault="00A65F5F" w:rsidP="00A65F5F">
      <w:pPr>
        <w:ind w:left="-540" w:right="-25"/>
        <w:rPr>
          <w:color w:val="000000" w:themeColor="text1"/>
        </w:rPr>
      </w:pPr>
    </w:p>
    <w:p w14:paraId="4062B8D3" w14:textId="77777777" w:rsidR="00A65F5F" w:rsidRDefault="00A65F5F" w:rsidP="00A65F5F">
      <w:pPr>
        <w:ind w:left="-540" w:right="-25"/>
        <w:rPr>
          <w:color w:val="000000" w:themeColor="text1"/>
        </w:rPr>
      </w:pPr>
      <w:r>
        <w:rPr>
          <w:color w:val="000000" w:themeColor="text1"/>
        </w:rPr>
        <w:t xml:space="preserve">La información presentada sobre posibles factores de riesgo es una base de referencia para el inversionista pero no los exime de sus propios análisis para la identificación de otros factores de riesgos, dados los aportes de capital. </w:t>
      </w:r>
    </w:p>
    <w:p w14:paraId="26595118" w14:textId="77777777" w:rsidR="00A65F5F" w:rsidRDefault="00A65F5F" w:rsidP="00A65F5F">
      <w:pPr>
        <w:ind w:left="-540" w:right="-25"/>
        <w:rPr>
          <w:color w:val="000000" w:themeColor="text1"/>
        </w:rPr>
      </w:pPr>
    </w:p>
    <w:p w14:paraId="4B88C269" w14:textId="77777777" w:rsidR="00A65F5F" w:rsidRDefault="00A65F5F" w:rsidP="00A65F5F">
      <w:pPr>
        <w:ind w:left="-540" w:right="-25"/>
        <w:rPr>
          <w:color w:val="000000" w:themeColor="text1"/>
        </w:rPr>
      </w:pPr>
      <w:r>
        <w:rPr>
          <w:color w:val="000000" w:themeColor="text1"/>
        </w:rPr>
        <w:t xml:space="preserve">Otro aspecto a tomar en consideración es que los riesgos a los que se enfrenta esta empresa son muy dinámicos y divergentes en las dos industrias en las que se desenvuelve, por tanto, exige mantenerse alerta ante cualquier posible cambio del entorno. </w:t>
      </w:r>
    </w:p>
    <w:p w14:paraId="589714ED" w14:textId="77777777" w:rsidR="00A65F5F" w:rsidRDefault="00A65F5F" w:rsidP="00A65F5F">
      <w:pPr>
        <w:ind w:left="-540" w:right="-25"/>
        <w:rPr>
          <w:color w:val="000000" w:themeColor="text1"/>
        </w:rPr>
      </w:pPr>
    </w:p>
    <w:p w14:paraId="370ABFAF" w14:textId="77777777" w:rsidR="00A65F5F" w:rsidRPr="005F4BE8" w:rsidRDefault="00A65F5F" w:rsidP="00A65F5F">
      <w:pPr>
        <w:ind w:left="-540" w:right="-25"/>
        <w:rPr>
          <w:color w:val="000000" w:themeColor="text1"/>
        </w:rPr>
      </w:pPr>
      <w:r w:rsidRPr="005F4BE8">
        <w:rPr>
          <w:color w:val="000000" w:themeColor="text1"/>
        </w:rPr>
        <w:t>Los riesgos pueden ser propios de la oferta, del emisor, de la industria y del entorno. En este mismo orden se detallan a continuación.</w:t>
      </w:r>
    </w:p>
    <w:p w14:paraId="32687285" w14:textId="77777777" w:rsidR="00A65F5F" w:rsidRPr="003E6749" w:rsidRDefault="00A65F5F" w:rsidP="00EF0D70">
      <w:pPr>
        <w:pStyle w:val="Ttulo2"/>
        <w:numPr>
          <w:ilvl w:val="1"/>
          <w:numId w:val="57"/>
        </w:numPr>
      </w:pPr>
      <w:bookmarkStart w:id="424" w:name="_Toc26357120"/>
      <w:bookmarkStart w:id="425" w:name="_Toc138664909"/>
      <w:bookmarkEnd w:id="423"/>
      <w:r>
        <w:t>Riesgos de la Oferta</w:t>
      </w:r>
      <w:bookmarkEnd w:id="424"/>
      <w:bookmarkEnd w:id="425"/>
    </w:p>
    <w:p w14:paraId="6BFE18E7" w14:textId="77777777" w:rsidR="00A65F5F" w:rsidRPr="003E6749" w:rsidRDefault="00A65F5F" w:rsidP="00A65F5F">
      <w:pPr>
        <w:ind w:left="-540" w:right="-25"/>
        <w:rPr>
          <w:color w:val="000000" w:themeColor="text1"/>
          <w:lang w:val="es-ES"/>
        </w:rPr>
      </w:pPr>
    </w:p>
    <w:p w14:paraId="0E0E45CA" w14:textId="77777777" w:rsidR="00A65F5F" w:rsidRPr="00363E87" w:rsidRDefault="00A65F5F" w:rsidP="00A65F5F">
      <w:pPr>
        <w:ind w:left="-540" w:right="-25"/>
        <w:rPr>
          <w:color w:val="000000" w:themeColor="text1"/>
        </w:rPr>
      </w:pPr>
      <w:r w:rsidRPr="00363E87">
        <w:rPr>
          <w:color w:val="000000" w:themeColor="text1"/>
        </w:rPr>
        <w:t>Este apartado se refiere a los riesgos propios de las emisiones y cómo pueden afectar a los inversionistas. Estos riesgos pueden ser clasificados bajo las categorías que se detallan a continuación:</w:t>
      </w:r>
    </w:p>
    <w:p w14:paraId="54981133" w14:textId="77777777" w:rsidR="00A65F5F" w:rsidRPr="005F4BE8" w:rsidRDefault="00A65F5F" w:rsidP="00A65F5F">
      <w:pPr>
        <w:ind w:right="-25"/>
        <w:rPr>
          <w:color w:val="000000" w:themeColor="text1"/>
        </w:rPr>
      </w:pPr>
    </w:p>
    <w:p w14:paraId="68D8C1EB" w14:textId="77777777" w:rsidR="00A65F5F" w:rsidRPr="005F4BE8" w:rsidRDefault="00A65F5F" w:rsidP="00A65F5F">
      <w:pPr>
        <w:pStyle w:val="Ttulo4"/>
        <w:numPr>
          <w:ilvl w:val="0"/>
          <w:numId w:val="7"/>
        </w:numPr>
        <w:rPr>
          <w:color w:val="000000" w:themeColor="text1"/>
        </w:rPr>
      </w:pPr>
      <w:bookmarkStart w:id="426" w:name="_Toc191194585"/>
      <w:bookmarkStart w:id="427" w:name="_Toc191377592"/>
      <w:bookmarkStart w:id="428" w:name="_Toc192577339"/>
      <w:bookmarkStart w:id="429" w:name="_Toc192591213"/>
      <w:bookmarkStart w:id="430" w:name="_Toc192925722"/>
      <w:bookmarkStart w:id="431" w:name="_Toc192925809"/>
      <w:bookmarkStart w:id="432" w:name="_Toc192933464"/>
      <w:bookmarkStart w:id="433" w:name="_Toc192933695"/>
      <w:bookmarkStart w:id="434" w:name="_Toc193006276"/>
      <w:bookmarkStart w:id="435" w:name="_Toc193006367"/>
      <w:bookmarkStart w:id="436" w:name="_Toc193006457"/>
      <w:bookmarkStart w:id="437" w:name="_Toc193006547"/>
      <w:bookmarkStart w:id="438" w:name="_Toc193006637"/>
      <w:bookmarkStart w:id="439" w:name="_Toc193006727"/>
      <w:bookmarkStart w:id="440" w:name="_Toc193114019"/>
      <w:bookmarkStart w:id="441" w:name="_Toc193185663"/>
      <w:bookmarkStart w:id="442" w:name="_Toc193188550"/>
      <w:bookmarkStart w:id="443" w:name="_Toc193200002"/>
      <w:bookmarkStart w:id="444" w:name="_Toc197158864"/>
      <w:bookmarkStart w:id="445" w:name="_Toc197160127"/>
      <w:bookmarkStart w:id="446" w:name="_Toc197235592"/>
      <w:bookmarkStart w:id="447" w:name="_Toc197235930"/>
      <w:bookmarkStart w:id="448" w:name="_Toc199652811"/>
      <w:bookmarkStart w:id="449" w:name="_Toc200335808"/>
      <w:bookmarkStart w:id="450" w:name="_Toc206844766"/>
      <w:bookmarkStart w:id="451" w:name="_Toc206905629"/>
      <w:bookmarkStart w:id="452" w:name="_Toc207095731"/>
      <w:bookmarkStart w:id="453" w:name="_Toc207098117"/>
      <w:bookmarkStart w:id="454" w:name="_Toc207098310"/>
      <w:bookmarkStart w:id="455" w:name="_Toc207098505"/>
      <w:bookmarkStart w:id="456" w:name="_Toc207098605"/>
      <w:bookmarkStart w:id="457" w:name="_Toc207098704"/>
      <w:bookmarkStart w:id="458" w:name="_Toc207103365"/>
      <w:bookmarkStart w:id="459" w:name="_Toc207178750"/>
      <w:bookmarkStart w:id="460" w:name="_Toc208394626"/>
      <w:bookmarkStart w:id="461" w:name="_Toc210618837"/>
      <w:bookmarkStart w:id="462" w:name="_Toc210619119"/>
      <w:bookmarkStart w:id="463" w:name="_Toc210619344"/>
      <w:bookmarkStart w:id="464" w:name="_Toc210619851"/>
      <w:bookmarkStart w:id="465" w:name="_Toc222025417"/>
      <w:bookmarkStart w:id="466" w:name="_Toc222030353"/>
      <w:bookmarkStart w:id="467" w:name="_Toc222134984"/>
      <w:bookmarkStart w:id="468" w:name="_Toc222675405"/>
      <w:bookmarkStart w:id="469" w:name="_Toc222828373"/>
      <w:bookmarkStart w:id="470" w:name="_Toc222828470"/>
      <w:bookmarkStart w:id="471" w:name="_Toc222887683"/>
      <w:bookmarkStart w:id="472" w:name="_Toc222912151"/>
      <w:bookmarkStart w:id="473" w:name="_Toc222915210"/>
      <w:bookmarkStart w:id="474" w:name="_Toc222915304"/>
      <w:bookmarkStart w:id="475" w:name="_Toc222919686"/>
      <w:bookmarkStart w:id="476" w:name="_Toc222919780"/>
      <w:bookmarkStart w:id="477" w:name="_Toc222919875"/>
      <w:bookmarkStart w:id="478" w:name="_Toc222920178"/>
      <w:bookmarkStart w:id="479" w:name="_Toc223164532"/>
      <w:bookmarkStart w:id="480" w:name="_Toc223175965"/>
      <w:bookmarkStart w:id="481" w:name="_Toc223337091"/>
      <w:bookmarkStart w:id="482" w:name="_Toc223337184"/>
      <w:bookmarkStart w:id="483" w:name="_Toc223342177"/>
      <w:bookmarkStart w:id="484" w:name="_Toc223357543"/>
      <w:bookmarkStart w:id="485" w:name="_Toc223357634"/>
      <w:bookmarkStart w:id="486" w:name="_Toc223491408"/>
      <w:bookmarkStart w:id="487" w:name="_Toc225051338"/>
      <w:bookmarkStart w:id="488" w:name="_Toc225073428"/>
      <w:bookmarkStart w:id="489" w:name="_Toc225078376"/>
      <w:bookmarkStart w:id="490" w:name="_Toc225078467"/>
      <w:bookmarkStart w:id="491" w:name="_Toc225079308"/>
      <w:bookmarkStart w:id="492" w:name="_Toc225148934"/>
      <w:bookmarkStart w:id="493" w:name="_Toc225149025"/>
      <w:bookmarkStart w:id="494" w:name="_Toc225149116"/>
      <w:bookmarkStart w:id="495" w:name="_Toc225154684"/>
      <w:bookmarkStart w:id="496" w:name="_Toc225156198"/>
      <w:bookmarkStart w:id="497" w:name="_Toc225160867"/>
      <w:bookmarkStart w:id="498" w:name="_Toc225223107"/>
      <w:bookmarkStart w:id="499" w:name="_Toc225241348"/>
      <w:bookmarkStart w:id="500" w:name="_Toc225242733"/>
      <w:bookmarkStart w:id="501" w:name="_Toc225242825"/>
      <w:bookmarkStart w:id="502" w:name="_Toc225307331"/>
      <w:bookmarkStart w:id="503" w:name="_Toc225307423"/>
      <w:bookmarkStart w:id="504" w:name="_Toc225912327"/>
      <w:bookmarkStart w:id="505" w:name="_Toc225912435"/>
      <w:bookmarkStart w:id="506" w:name="_Toc225912527"/>
      <w:bookmarkStart w:id="507" w:name="_Toc225912651"/>
      <w:bookmarkStart w:id="508" w:name="_Toc225912743"/>
      <w:bookmarkStart w:id="509" w:name="_Toc225912835"/>
      <w:bookmarkStart w:id="510" w:name="_Toc225912927"/>
      <w:bookmarkStart w:id="511" w:name="_Toc225913019"/>
      <w:bookmarkStart w:id="512" w:name="_Toc225913181"/>
      <w:bookmarkStart w:id="513" w:name="_Toc225913282"/>
      <w:bookmarkStart w:id="514" w:name="_Toc225913502"/>
      <w:bookmarkStart w:id="515" w:name="_Toc225913708"/>
      <w:bookmarkStart w:id="516" w:name="_Toc225913804"/>
      <w:bookmarkStart w:id="517" w:name="_Toc225913900"/>
      <w:bookmarkStart w:id="518" w:name="_Toc225913996"/>
      <w:bookmarkStart w:id="519" w:name="_Toc225914092"/>
      <w:bookmarkStart w:id="520" w:name="_Toc225914219"/>
      <w:bookmarkStart w:id="521" w:name="_Toc225914315"/>
      <w:bookmarkStart w:id="522" w:name="_Toc225914589"/>
      <w:bookmarkStart w:id="523" w:name="_Toc225914685"/>
      <w:bookmarkStart w:id="524" w:name="_Toc225914781"/>
      <w:bookmarkStart w:id="525" w:name="_Toc225914878"/>
      <w:bookmarkStart w:id="526" w:name="_Toc225914975"/>
      <w:bookmarkStart w:id="527" w:name="_Toc225915073"/>
      <w:bookmarkStart w:id="528" w:name="_Toc225921441"/>
      <w:bookmarkStart w:id="529" w:name="_Toc226779625"/>
      <w:bookmarkStart w:id="530" w:name="_Toc226807197"/>
      <w:bookmarkStart w:id="531" w:name="_Toc226807313"/>
      <w:bookmarkStart w:id="532" w:name="_Toc226807427"/>
      <w:bookmarkStart w:id="533" w:name="_Toc226807538"/>
      <w:bookmarkStart w:id="534" w:name="_Toc226808426"/>
      <w:bookmarkStart w:id="535" w:name="_Toc226808537"/>
      <w:bookmarkStart w:id="536" w:name="_Toc226809051"/>
      <w:bookmarkStart w:id="537" w:name="_Toc226809161"/>
      <w:bookmarkStart w:id="538" w:name="_Toc226809272"/>
      <w:bookmarkStart w:id="539" w:name="_Toc226809382"/>
      <w:bookmarkStart w:id="540" w:name="_Toc226809492"/>
      <w:bookmarkStart w:id="541" w:name="_Toc226809809"/>
      <w:bookmarkStart w:id="542" w:name="_Toc226810056"/>
      <w:bookmarkStart w:id="543" w:name="_Toc228013103"/>
      <w:bookmarkStart w:id="544" w:name="_Toc228084797"/>
      <w:bookmarkStart w:id="545" w:name="_Toc228087354"/>
      <w:bookmarkStart w:id="546" w:name="_Toc228098593"/>
      <w:bookmarkStart w:id="547" w:name="_Toc228696377"/>
      <w:bookmarkStart w:id="548" w:name="_Toc229149135"/>
      <w:bookmarkStart w:id="549" w:name="_Toc229149273"/>
      <w:bookmarkStart w:id="550" w:name="_Toc229150093"/>
      <w:bookmarkStart w:id="551" w:name="_Toc229150729"/>
      <w:bookmarkStart w:id="552" w:name="_Toc231981178"/>
      <w:bookmarkStart w:id="553" w:name="_Toc234672854"/>
      <w:bookmarkStart w:id="554" w:name="_Toc234672964"/>
      <w:bookmarkStart w:id="555" w:name="_Toc234673073"/>
      <w:bookmarkStart w:id="556" w:name="_Toc234673182"/>
      <w:bookmarkStart w:id="557" w:name="_Toc234673291"/>
      <w:bookmarkStart w:id="558" w:name="_Toc234673510"/>
      <w:bookmarkStart w:id="559" w:name="_Toc234673619"/>
      <w:bookmarkStart w:id="560" w:name="_Toc234744033"/>
      <w:bookmarkStart w:id="561" w:name="_Toc234744247"/>
      <w:bookmarkStart w:id="562" w:name="_Toc234750677"/>
      <w:bookmarkStart w:id="563" w:name="_Toc234750789"/>
      <w:bookmarkStart w:id="564" w:name="_Toc234923881"/>
      <w:bookmarkStart w:id="565" w:name="_Toc234925797"/>
      <w:bookmarkStart w:id="566" w:name="_Toc235615228"/>
      <w:bookmarkStart w:id="567" w:name="_Toc235616716"/>
      <w:bookmarkStart w:id="568" w:name="_Toc235856974"/>
      <w:bookmarkStart w:id="569" w:name="_Toc237334672"/>
      <w:bookmarkStart w:id="570" w:name="_Toc237919625"/>
      <w:bookmarkStart w:id="571" w:name="_Toc238276549"/>
      <w:bookmarkStart w:id="572" w:name="_Toc238869492"/>
      <w:bookmarkStart w:id="573" w:name="_Toc238873045"/>
      <w:bookmarkStart w:id="574" w:name="_Toc238873418"/>
      <w:bookmarkStart w:id="575" w:name="_Toc238876955"/>
      <w:bookmarkStart w:id="576" w:name="_Toc240107323"/>
      <w:bookmarkStart w:id="577" w:name="_Toc240159554"/>
      <w:bookmarkStart w:id="578" w:name="_Toc240159706"/>
      <w:bookmarkStart w:id="579" w:name="_Toc240255744"/>
      <w:bookmarkStart w:id="580" w:name="_Toc240267648"/>
      <w:bookmarkStart w:id="581" w:name="_Toc240267759"/>
      <w:bookmarkStart w:id="582" w:name="_Toc240268152"/>
      <w:bookmarkStart w:id="583" w:name="_Toc240268407"/>
      <w:bookmarkStart w:id="584" w:name="_Toc240268520"/>
      <w:bookmarkStart w:id="585" w:name="_Toc240268631"/>
      <w:bookmarkStart w:id="586" w:name="_Toc240454222"/>
      <w:bookmarkStart w:id="587" w:name="_Toc240697907"/>
      <w:bookmarkStart w:id="588" w:name="_Toc258937709"/>
      <w:bookmarkStart w:id="589" w:name="_Toc261418349"/>
      <w:bookmarkStart w:id="590" w:name="_Toc261458533"/>
      <w:bookmarkStart w:id="591" w:name="_Toc261458921"/>
      <w:bookmarkStart w:id="592" w:name="_Toc262203243"/>
      <w:bookmarkStart w:id="593" w:name="_Toc262218580"/>
      <w:bookmarkStart w:id="594" w:name="_Toc262319036"/>
      <w:bookmarkStart w:id="595" w:name="_Toc262458930"/>
      <w:bookmarkStart w:id="596" w:name="_Toc262459784"/>
      <w:bookmarkStart w:id="597" w:name="_Toc262460195"/>
      <w:bookmarkStart w:id="598" w:name="_Toc262460322"/>
      <w:bookmarkStart w:id="599" w:name="_Toc262460449"/>
      <w:bookmarkStart w:id="600" w:name="_Toc262480960"/>
      <w:bookmarkStart w:id="601" w:name="_Toc262483149"/>
      <w:bookmarkStart w:id="602" w:name="_Toc262483284"/>
      <w:bookmarkStart w:id="603" w:name="_Toc262483420"/>
      <w:bookmarkStart w:id="604" w:name="_Toc262483556"/>
      <w:bookmarkStart w:id="605" w:name="_Toc262483691"/>
      <w:bookmarkStart w:id="606" w:name="_Toc262483826"/>
      <w:bookmarkStart w:id="607" w:name="_Toc304736380"/>
      <w:bookmarkStart w:id="608" w:name="_Toc304736614"/>
      <w:bookmarkStart w:id="609" w:name="_Toc304736862"/>
      <w:bookmarkStart w:id="610" w:name="_Toc304737168"/>
      <w:bookmarkStart w:id="611" w:name="_Toc326700815"/>
      <w:bookmarkStart w:id="612" w:name="_Toc326701453"/>
      <w:bookmarkStart w:id="613" w:name="_Toc326730839"/>
      <w:bookmarkStart w:id="614" w:name="_Toc326731025"/>
      <w:bookmarkStart w:id="615" w:name="_Toc326731523"/>
      <w:bookmarkStart w:id="616" w:name="_Toc326732435"/>
      <w:bookmarkStart w:id="617" w:name="_Toc326734166"/>
      <w:bookmarkStart w:id="618" w:name="_Toc326735115"/>
      <w:bookmarkStart w:id="619" w:name="_Toc326735426"/>
      <w:bookmarkStart w:id="620" w:name="_Toc343675997"/>
      <w:bookmarkStart w:id="621" w:name="_Toc358619360"/>
      <w:bookmarkStart w:id="622" w:name="_Toc358620625"/>
      <w:bookmarkStart w:id="623" w:name="_Toc358621832"/>
      <w:bookmarkStart w:id="624" w:name="_Toc358622809"/>
      <w:bookmarkStart w:id="625" w:name="_Toc358622937"/>
      <w:bookmarkStart w:id="626" w:name="_Toc191194586"/>
      <w:bookmarkStart w:id="627" w:name="_Toc191377593"/>
      <w:bookmarkStart w:id="628" w:name="_Toc192577340"/>
      <w:bookmarkStart w:id="629" w:name="_Toc192591214"/>
      <w:bookmarkStart w:id="630" w:name="_Toc192925723"/>
      <w:bookmarkStart w:id="631" w:name="_Toc192925810"/>
      <w:bookmarkStart w:id="632" w:name="_Toc192933465"/>
      <w:bookmarkStart w:id="633" w:name="_Toc192933696"/>
      <w:bookmarkStart w:id="634" w:name="_Toc193006277"/>
      <w:bookmarkStart w:id="635" w:name="_Toc193006368"/>
      <w:bookmarkStart w:id="636" w:name="_Toc193006458"/>
      <w:bookmarkStart w:id="637" w:name="_Toc193006548"/>
      <w:bookmarkStart w:id="638" w:name="_Toc193006638"/>
      <w:bookmarkStart w:id="639" w:name="_Toc193006728"/>
      <w:bookmarkStart w:id="640" w:name="_Toc193114020"/>
      <w:bookmarkStart w:id="641" w:name="_Toc193185664"/>
      <w:bookmarkStart w:id="642" w:name="_Toc193188551"/>
      <w:bookmarkStart w:id="643" w:name="_Toc193200003"/>
      <w:bookmarkStart w:id="644" w:name="_Toc197158865"/>
      <w:bookmarkStart w:id="645" w:name="_Toc197160128"/>
      <w:bookmarkStart w:id="646" w:name="_Toc197235593"/>
      <w:bookmarkStart w:id="647" w:name="_Toc197235931"/>
      <w:bookmarkStart w:id="648" w:name="_Toc199652812"/>
      <w:bookmarkStart w:id="649" w:name="_Toc200335809"/>
      <w:bookmarkStart w:id="650" w:name="_Toc206844767"/>
      <w:bookmarkStart w:id="651" w:name="_Toc206905630"/>
      <w:bookmarkStart w:id="652" w:name="_Toc207095732"/>
      <w:bookmarkStart w:id="653" w:name="_Toc207098118"/>
      <w:bookmarkStart w:id="654" w:name="_Toc207098311"/>
      <w:bookmarkStart w:id="655" w:name="_Toc207098506"/>
      <w:bookmarkStart w:id="656" w:name="_Toc207098606"/>
      <w:bookmarkStart w:id="657" w:name="_Toc207098705"/>
      <w:bookmarkStart w:id="658" w:name="_Toc207103366"/>
      <w:bookmarkStart w:id="659" w:name="_Toc207178751"/>
      <w:bookmarkStart w:id="660" w:name="_Toc208394627"/>
      <w:bookmarkStart w:id="661" w:name="_Toc210618838"/>
      <w:bookmarkStart w:id="662" w:name="_Toc210619120"/>
      <w:bookmarkStart w:id="663" w:name="_Toc210619345"/>
      <w:bookmarkStart w:id="664" w:name="_Toc210619852"/>
      <w:bookmarkStart w:id="665" w:name="_Toc222025418"/>
      <w:bookmarkStart w:id="666" w:name="_Toc222030354"/>
      <w:bookmarkStart w:id="667" w:name="_Toc222134985"/>
      <w:bookmarkStart w:id="668" w:name="_Toc222675406"/>
      <w:bookmarkStart w:id="669" w:name="_Toc222828374"/>
      <w:bookmarkStart w:id="670" w:name="_Toc222828471"/>
      <w:bookmarkStart w:id="671" w:name="_Toc222887684"/>
      <w:bookmarkStart w:id="672" w:name="_Toc222912152"/>
      <w:bookmarkStart w:id="673" w:name="_Toc222915211"/>
      <w:bookmarkStart w:id="674" w:name="_Toc222915305"/>
      <w:bookmarkStart w:id="675" w:name="_Toc222919687"/>
      <w:bookmarkStart w:id="676" w:name="_Toc222919781"/>
      <w:bookmarkStart w:id="677" w:name="_Toc222919876"/>
      <w:bookmarkStart w:id="678" w:name="_Toc222920179"/>
      <w:bookmarkStart w:id="679" w:name="_Toc223164533"/>
      <w:bookmarkStart w:id="680" w:name="_Toc223175966"/>
      <w:bookmarkStart w:id="681" w:name="_Toc223337092"/>
      <w:bookmarkStart w:id="682" w:name="_Toc223337185"/>
      <w:bookmarkStart w:id="683" w:name="_Toc223342178"/>
      <w:bookmarkStart w:id="684" w:name="_Toc223357544"/>
      <w:bookmarkStart w:id="685" w:name="_Toc223357635"/>
      <w:bookmarkStart w:id="686" w:name="_Toc223491409"/>
      <w:bookmarkStart w:id="687" w:name="_Toc225051339"/>
      <w:bookmarkStart w:id="688" w:name="_Toc225073429"/>
      <w:bookmarkStart w:id="689" w:name="_Toc225078377"/>
      <w:bookmarkStart w:id="690" w:name="_Toc225078468"/>
      <w:bookmarkStart w:id="691" w:name="_Toc225079309"/>
      <w:bookmarkStart w:id="692" w:name="_Toc225148935"/>
      <w:bookmarkStart w:id="693" w:name="_Toc225149026"/>
      <w:bookmarkStart w:id="694" w:name="_Toc225149117"/>
      <w:bookmarkStart w:id="695" w:name="_Toc225154685"/>
      <w:bookmarkStart w:id="696" w:name="_Toc225156199"/>
      <w:bookmarkStart w:id="697" w:name="_Toc225160868"/>
      <w:bookmarkStart w:id="698" w:name="_Toc225223108"/>
      <w:bookmarkStart w:id="699" w:name="_Toc225241349"/>
      <w:bookmarkStart w:id="700" w:name="_Toc225242734"/>
      <w:bookmarkStart w:id="701" w:name="_Toc225242826"/>
      <w:bookmarkStart w:id="702" w:name="_Toc225307332"/>
      <w:bookmarkStart w:id="703" w:name="_Toc225307424"/>
      <w:bookmarkStart w:id="704" w:name="_Toc225912328"/>
      <w:bookmarkStart w:id="705" w:name="_Toc225912436"/>
      <w:bookmarkStart w:id="706" w:name="_Toc225912528"/>
      <w:bookmarkStart w:id="707" w:name="_Toc225912652"/>
      <w:bookmarkStart w:id="708" w:name="_Toc225912744"/>
      <w:bookmarkStart w:id="709" w:name="_Toc225912836"/>
      <w:bookmarkStart w:id="710" w:name="_Toc225912928"/>
      <w:bookmarkStart w:id="711" w:name="_Toc225913020"/>
      <w:bookmarkStart w:id="712" w:name="_Toc225913182"/>
      <w:bookmarkStart w:id="713" w:name="_Toc225913283"/>
      <w:bookmarkStart w:id="714" w:name="_Toc225913503"/>
      <w:bookmarkStart w:id="715" w:name="_Toc225913709"/>
      <w:bookmarkStart w:id="716" w:name="_Toc225913805"/>
      <w:bookmarkStart w:id="717" w:name="_Toc225913901"/>
      <w:bookmarkStart w:id="718" w:name="_Toc225913997"/>
      <w:bookmarkStart w:id="719" w:name="_Toc225914093"/>
      <w:bookmarkStart w:id="720" w:name="_Toc225914220"/>
      <w:bookmarkStart w:id="721" w:name="_Toc225914316"/>
      <w:bookmarkStart w:id="722" w:name="_Toc225914590"/>
      <w:bookmarkStart w:id="723" w:name="_Toc225914686"/>
      <w:bookmarkStart w:id="724" w:name="_Toc225914782"/>
      <w:bookmarkStart w:id="725" w:name="_Toc225914879"/>
      <w:bookmarkStart w:id="726" w:name="_Toc225914976"/>
      <w:bookmarkStart w:id="727" w:name="_Toc225915074"/>
      <w:bookmarkStart w:id="728" w:name="_Toc225921442"/>
      <w:bookmarkStart w:id="729" w:name="_Toc226779626"/>
      <w:bookmarkStart w:id="730" w:name="_Toc226807198"/>
      <w:bookmarkStart w:id="731" w:name="_Toc226807314"/>
      <w:bookmarkStart w:id="732" w:name="_Toc226807428"/>
      <w:bookmarkStart w:id="733" w:name="_Toc226807539"/>
      <w:bookmarkStart w:id="734" w:name="_Toc226808427"/>
      <w:bookmarkStart w:id="735" w:name="_Toc226808538"/>
      <w:bookmarkStart w:id="736" w:name="_Toc226809052"/>
      <w:bookmarkStart w:id="737" w:name="_Toc226809162"/>
      <w:bookmarkStart w:id="738" w:name="_Toc226809273"/>
      <w:bookmarkStart w:id="739" w:name="_Toc226809383"/>
      <w:bookmarkStart w:id="740" w:name="_Toc226809493"/>
      <w:bookmarkStart w:id="741" w:name="_Toc226809810"/>
      <w:bookmarkStart w:id="742" w:name="_Toc226810057"/>
      <w:bookmarkStart w:id="743" w:name="_Toc228013104"/>
      <w:bookmarkStart w:id="744" w:name="_Toc228084798"/>
      <w:bookmarkStart w:id="745" w:name="_Toc228087355"/>
      <w:bookmarkStart w:id="746" w:name="_Toc228098594"/>
      <w:bookmarkStart w:id="747" w:name="_Toc228696378"/>
      <w:bookmarkStart w:id="748" w:name="_Toc229149136"/>
      <w:bookmarkStart w:id="749" w:name="_Toc229149274"/>
      <w:bookmarkStart w:id="750" w:name="_Toc229150094"/>
      <w:bookmarkStart w:id="751" w:name="_Toc229150730"/>
      <w:bookmarkStart w:id="752" w:name="_Toc231981179"/>
      <w:bookmarkStart w:id="753" w:name="_Toc234672855"/>
      <w:bookmarkStart w:id="754" w:name="_Toc234672965"/>
      <w:bookmarkStart w:id="755" w:name="_Toc234673074"/>
      <w:bookmarkStart w:id="756" w:name="_Toc234673183"/>
      <w:bookmarkStart w:id="757" w:name="_Toc234673292"/>
      <w:bookmarkStart w:id="758" w:name="_Toc234673511"/>
      <w:bookmarkStart w:id="759" w:name="_Toc234673620"/>
      <w:bookmarkStart w:id="760" w:name="_Toc234744034"/>
      <w:bookmarkStart w:id="761" w:name="_Toc234744248"/>
      <w:bookmarkStart w:id="762" w:name="_Toc234750678"/>
      <w:bookmarkStart w:id="763" w:name="_Toc234750790"/>
      <w:bookmarkStart w:id="764" w:name="_Toc234923882"/>
      <w:bookmarkStart w:id="765" w:name="_Toc234925798"/>
      <w:bookmarkStart w:id="766" w:name="_Toc235615229"/>
      <w:bookmarkStart w:id="767" w:name="_Toc235616717"/>
      <w:bookmarkStart w:id="768" w:name="_Toc235856975"/>
      <w:bookmarkStart w:id="769" w:name="_Toc237334673"/>
      <w:bookmarkStart w:id="770" w:name="_Toc237919626"/>
      <w:bookmarkStart w:id="771" w:name="_Toc238276550"/>
      <w:bookmarkStart w:id="772" w:name="_Toc238869493"/>
      <w:bookmarkStart w:id="773" w:name="_Toc238873046"/>
      <w:bookmarkStart w:id="774" w:name="_Toc238873419"/>
      <w:bookmarkStart w:id="775" w:name="_Toc238876956"/>
      <w:bookmarkStart w:id="776" w:name="_Toc240107324"/>
      <w:bookmarkStart w:id="777" w:name="_Toc240159555"/>
      <w:bookmarkStart w:id="778" w:name="_Toc240159707"/>
      <w:bookmarkStart w:id="779" w:name="_Toc240255745"/>
      <w:bookmarkStart w:id="780" w:name="_Toc240267649"/>
      <w:bookmarkStart w:id="781" w:name="_Toc240267760"/>
      <w:bookmarkStart w:id="782" w:name="_Toc240268153"/>
      <w:bookmarkStart w:id="783" w:name="_Toc240268408"/>
      <w:bookmarkStart w:id="784" w:name="_Toc240268521"/>
      <w:bookmarkStart w:id="785" w:name="_Toc240268632"/>
      <w:bookmarkStart w:id="786" w:name="_Toc240454223"/>
      <w:bookmarkStart w:id="787" w:name="_Toc240697908"/>
      <w:bookmarkStart w:id="788" w:name="_Toc258937710"/>
      <w:bookmarkStart w:id="789" w:name="_Toc261418350"/>
      <w:bookmarkStart w:id="790" w:name="_Toc261458534"/>
      <w:bookmarkStart w:id="791" w:name="_Toc261458922"/>
      <w:bookmarkStart w:id="792" w:name="_Toc262203244"/>
      <w:bookmarkStart w:id="793" w:name="_Toc262218581"/>
      <w:bookmarkStart w:id="794" w:name="_Toc262319037"/>
      <w:bookmarkStart w:id="795" w:name="_Toc262458931"/>
      <w:bookmarkStart w:id="796" w:name="_Toc262459785"/>
      <w:bookmarkStart w:id="797" w:name="_Toc262460196"/>
      <w:bookmarkStart w:id="798" w:name="_Toc262460323"/>
      <w:bookmarkStart w:id="799" w:name="_Toc262460450"/>
      <w:bookmarkStart w:id="800" w:name="_Toc262480961"/>
      <w:bookmarkStart w:id="801" w:name="_Toc262483150"/>
      <w:bookmarkStart w:id="802" w:name="_Toc262483285"/>
      <w:bookmarkStart w:id="803" w:name="_Toc262483421"/>
      <w:bookmarkStart w:id="804" w:name="_Toc262483557"/>
      <w:bookmarkStart w:id="805" w:name="_Toc262483692"/>
      <w:bookmarkStart w:id="806" w:name="_Toc262483827"/>
      <w:bookmarkStart w:id="807" w:name="_Toc304736381"/>
      <w:bookmarkStart w:id="808" w:name="_Toc304736615"/>
      <w:bookmarkStart w:id="809" w:name="_Toc304736863"/>
      <w:bookmarkStart w:id="810" w:name="_Toc304737169"/>
      <w:bookmarkStart w:id="811" w:name="_Toc326700816"/>
      <w:bookmarkStart w:id="812" w:name="_Toc326701454"/>
      <w:bookmarkStart w:id="813" w:name="_Toc326730840"/>
      <w:bookmarkStart w:id="814" w:name="_Toc326731026"/>
      <w:bookmarkStart w:id="815" w:name="_Toc326731524"/>
      <w:bookmarkStart w:id="816" w:name="_Toc326732436"/>
      <w:bookmarkStart w:id="817" w:name="_Toc326734167"/>
      <w:bookmarkStart w:id="818" w:name="_Toc326735116"/>
      <w:bookmarkStart w:id="819" w:name="_Toc326735427"/>
      <w:bookmarkStart w:id="820" w:name="_Toc343675998"/>
      <w:bookmarkStart w:id="821" w:name="_Toc358619361"/>
      <w:bookmarkStart w:id="822" w:name="_Toc358620626"/>
      <w:bookmarkStart w:id="823" w:name="_Toc358621833"/>
      <w:bookmarkStart w:id="824" w:name="_Toc358622810"/>
      <w:bookmarkStart w:id="825" w:name="_Toc358622938"/>
      <w:bookmarkStart w:id="826" w:name="_Toc421538395"/>
      <w:bookmarkStart w:id="827" w:name="_Toc421538555"/>
      <w:bookmarkStart w:id="828" w:name="_Toc421538679"/>
      <w:bookmarkStart w:id="829" w:name="_Toc421538801"/>
      <w:bookmarkStart w:id="830" w:name="_Toc421598825"/>
      <w:bookmarkStart w:id="831" w:name="_Toc421599501"/>
      <w:bookmarkStart w:id="832" w:name="_Toc426961058"/>
      <w:bookmarkStart w:id="833" w:name="_Toc428352893"/>
      <w:bookmarkStart w:id="834" w:name="_Toc428353055"/>
      <w:bookmarkStart w:id="835" w:name="_Toc428353195"/>
      <w:bookmarkStart w:id="836" w:name="_Toc428353313"/>
      <w:bookmarkStart w:id="837" w:name="_Toc428353432"/>
      <w:bookmarkStart w:id="838" w:name="_Toc429734998"/>
      <w:bookmarkStart w:id="839" w:name="_Toc43432845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color w:val="000000" w:themeColor="text1"/>
        </w:rPr>
        <w:t>Riesgo de crédito</w:t>
      </w:r>
    </w:p>
    <w:p w14:paraId="5E943FE4" w14:textId="77777777" w:rsidR="00A65F5F" w:rsidRPr="005F4BE8" w:rsidRDefault="00A65F5F" w:rsidP="00A65F5F">
      <w:pPr>
        <w:ind w:right="-25"/>
        <w:rPr>
          <w:color w:val="000000" w:themeColor="text1"/>
        </w:rPr>
      </w:pPr>
      <w:r w:rsidRPr="005F4BE8">
        <w:rPr>
          <w:color w:val="000000" w:themeColor="text1"/>
        </w:rPr>
        <w:t>El riesgo de cesación de pagos (o de crédito), para el inversionista, se origina en la posibilidad de que la institución incumpla con sus obligaciones. El riesgo de crédito puede tomar la forma de atrasos o incumplimiento de los pagos de principal e intereses.</w:t>
      </w:r>
    </w:p>
    <w:p w14:paraId="786400C4" w14:textId="77777777" w:rsidR="00A65F5F" w:rsidRPr="005F4BE8" w:rsidRDefault="00A65F5F" w:rsidP="00A65F5F">
      <w:pPr>
        <w:ind w:right="-25"/>
        <w:rPr>
          <w:color w:val="000000" w:themeColor="text1"/>
        </w:rPr>
      </w:pPr>
    </w:p>
    <w:p w14:paraId="2F7E5178" w14:textId="77777777" w:rsidR="00A65F5F" w:rsidRPr="005F4BE8" w:rsidRDefault="00A65F5F" w:rsidP="00A65F5F">
      <w:pPr>
        <w:pStyle w:val="Ttulo4"/>
        <w:numPr>
          <w:ilvl w:val="0"/>
          <w:numId w:val="7"/>
        </w:numPr>
        <w:rPr>
          <w:color w:val="000000" w:themeColor="text1"/>
        </w:rPr>
      </w:pPr>
      <w:r w:rsidRPr="005F4BE8">
        <w:rPr>
          <w:color w:val="000000" w:themeColor="text1"/>
        </w:rPr>
        <w:t>Riesgo de variación de precio de los valores</w:t>
      </w:r>
    </w:p>
    <w:p w14:paraId="1C084296" w14:textId="77777777" w:rsidR="00A65F5F" w:rsidRPr="005F4BE8" w:rsidRDefault="00A65F5F" w:rsidP="00A65F5F">
      <w:pPr>
        <w:ind w:right="-25"/>
        <w:rPr>
          <w:color w:val="000000" w:themeColor="text1"/>
        </w:rPr>
      </w:pPr>
      <w:r w:rsidRPr="005F4BE8">
        <w:rPr>
          <w:color w:val="000000" w:themeColor="text1"/>
        </w:rPr>
        <w:t>Los precios de los valores podrían verse afectados por condiciones relacionadas con la percepción de riesgo que tengan los inversionistas sobre la solvencia de la institución.  En forma similar condiciones adversas en el mercado de valores como problemas de liquidez, aumentos en las tasas de interés y otros pueden afectar negativamente los precios de los títulos valores.  En esos casos los tenedores podrían experimentar una disminución del valor de mercado de los valores.</w:t>
      </w:r>
    </w:p>
    <w:p w14:paraId="09BA7CD0" w14:textId="77777777" w:rsidR="00A65F5F" w:rsidRPr="005F4BE8" w:rsidRDefault="00A65F5F" w:rsidP="00A65F5F">
      <w:pPr>
        <w:pStyle w:val="Ttulo4"/>
        <w:numPr>
          <w:ilvl w:val="0"/>
          <w:numId w:val="7"/>
        </w:numPr>
        <w:rPr>
          <w:color w:val="000000" w:themeColor="text1"/>
        </w:rPr>
      </w:pPr>
      <w:r w:rsidRPr="005F4BE8">
        <w:rPr>
          <w:color w:val="000000" w:themeColor="text1"/>
        </w:rPr>
        <w:t>Riesgo de iliquidez en el mercado secundario</w:t>
      </w:r>
    </w:p>
    <w:p w14:paraId="5252E02C" w14:textId="77777777" w:rsidR="00A65F5F" w:rsidRPr="005F4BE8" w:rsidRDefault="00A65F5F" w:rsidP="00A65F5F">
      <w:pPr>
        <w:ind w:right="-25"/>
        <w:rPr>
          <w:color w:val="000000" w:themeColor="text1"/>
        </w:rPr>
      </w:pPr>
      <w:r w:rsidRPr="005F4BE8">
        <w:rPr>
          <w:color w:val="000000" w:themeColor="text1"/>
        </w:rPr>
        <w:t>El riesgo de iliquidez se refiere a la posible dificultad del inversionista en convertir los títulos valores en fondos líquidos con la prontitud esperada, ya sea por limitaciones del mercado o por las características de las emisiones. Tal situación puede conllevar ajustes en el precio y en los costos de transacción para cerrar una operación en el mercado, lo que podría ocasionar que el inversionista reciba un monto menor al invertido o que éste no pueda liquidar su inversión.</w:t>
      </w:r>
    </w:p>
    <w:p w14:paraId="506EE30E" w14:textId="77777777" w:rsidR="00A65F5F" w:rsidRPr="005F4BE8" w:rsidRDefault="00A65F5F" w:rsidP="00A65F5F">
      <w:pPr>
        <w:ind w:right="-25"/>
        <w:rPr>
          <w:color w:val="000000" w:themeColor="text1"/>
        </w:rPr>
      </w:pPr>
    </w:p>
    <w:p w14:paraId="49097F94" w14:textId="77777777" w:rsidR="00A65F5F" w:rsidRPr="005F4BE8" w:rsidRDefault="00A65F5F" w:rsidP="00A65F5F">
      <w:pPr>
        <w:pStyle w:val="Ttulo4"/>
        <w:numPr>
          <w:ilvl w:val="0"/>
          <w:numId w:val="7"/>
        </w:numPr>
        <w:rPr>
          <w:color w:val="000000" w:themeColor="text1"/>
        </w:rPr>
      </w:pPr>
      <w:r w:rsidRPr="005F4BE8">
        <w:rPr>
          <w:color w:val="000000" w:themeColor="text1"/>
        </w:rPr>
        <w:t>Riesgo de variación en el tratamiento fiscal de los intereses</w:t>
      </w:r>
    </w:p>
    <w:p w14:paraId="0C703566" w14:textId="77777777" w:rsidR="00A65F5F" w:rsidRPr="005F4BE8" w:rsidRDefault="00A65F5F" w:rsidP="00A65F5F">
      <w:pPr>
        <w:ind w:right="-25"/>
        <w:rPr>
          <w:color w:val="000000" w:themeColor="text1"/>
        </w:rPr>
      </w:pPr>
      <w:r w:rsidRPr="005F4BE8">
        <w:rPr>
          <w:color w:val="000000" w:themeColor="text1"/>
        </w:rPr>
        <w:t>El tratamiento fiscal vigente para los intereses de los bonos puede ser modificado por eventuales cambios en la legislación tributaria, en cuyo caso se verían afectados los intereses netos de impuesto sobre la renta.</w:t>
      </w:r>
    </w:p>
    <w:p w14:paraId="47BD3B5B" w14:textId="77777777" w:rsidR="00A65F5F" w:rsidRPr="005F4BE8" w:rsidRDefault="00A65F5F" w:rsidP="00A65F5F">
      <w:pPr>
        <w:ind w:right="-25"/>
        <w:rPr>
          <w:color w:val="000000" w:themeColor="text1"/>
        </w:rPr>
      </w:pPr>
    </w:p>
    <w:p w14:paraId="419AFFD4" w14:textId="77777777" w:rsidR="00A65F5F" w:rsidRPr="005F4BE8" w:rsidRDefault="00A65F5F" w:rsidP="00A65F5F">
      <w:pPr>
        <w:pStyle w:val="Ttulo4"/>
        <w:numPr>
          <w:ilvl w:val="0"/>
          <w:numId w:val="7"/>
        </w:numPr>
        <w:rPr>
          <w:color w:val="000000" w:themeColor="text1"/>
        </w:rPr>
      </w:pPr>
      <w:r w:rsidRPr="005F4BE8">
        <w:rPr>
          <w:color w:val="000000" w:themeColor="text1"/>
        </w:rPr>
        <w:t>Riesgo de redención anticipada</w:t>
      </w:r>
    </w:p>
    <w:p w14:paraId="725545D3" w14:textId="77777777" w:rsidR="00A65F5F" w:rsidRPr="005F4BE8" w:rsidRDefault="00A65F5F" w:rsidP="00A65F5F">
      <w:pPr>
        <w:ind w:right="-25"/>
        <w:rPr>
          <w:color w:val="000000" w:themeColor="text1"/>
        </w:rPr>
      </w:pPr>
      <w:r w:rsidRPr="005F4BE8">
        <w:rPr>
          <w:color w:val="000000" w:themeColor="text1"/>
        </w:rPr>
        <w:t>Las emisiones del programa de emisiones pueden tener cláusulas de redención anticipada, en virtud de la cual el emisor puede cancelar parcial o totalmente en forma anticipada en las condiciones que se estipulen en dicha cláusula.  Para el inversionista no hay certeza de cuando se haría efectiva la cláusula de redención, por lo que el rendimiento al vencimiento puede ser distinto al rendimiento esperado en el momento de compra del valor.</w:t>
      </w:r>
    </w:p>
    <w:p w14:paraId="4C649960" w14:textId="77777777" w:rsidR="00A65F5F" w:rsidRPr="005F4BE8" w:rsidRDefault="00A65F5F" w:rsidP="00A65F5F">
      <w:pPr>
        <w:ind w:right="-25"/>
        <w:rPr>
          <w:color w:val="000000" w:themeColor="text1"/>
        </w:rPr>
      </w:pPr>
    </w:p>
    <w:p w14:paraId="4A5CDD1A" w14:textId="77777777" w:rsidR="00A65F5F" w:rsidRPr="005F4BE8" w:rsidRDefault="00A65F5F" w:rsidP="00A65F5F">
      <w:pPr>
        <w:pStyle w:val="Ttulo4"/>
        <w:numPr>
          <w:ilvl w:val="0"/>
          <w:numId w:val="7"/>
        </w:numPr>
        <w:rPr>
          <w:color w:val="000000" w:themeColor="text1"/>
        </w:rPr>
      </w:pPr>
      <w:r w:rsidRPr="005F4BE8">
        <w:rPr>
          <w:color w:val="000000" w:themeColor="text1"/>
        </w:rPr>
        <w:t>Riesgo de desinscripción de la emisión</w:t>
      </w:r>
    </w:p>
    <w:p w14:paraId="679B177E" w14:textId="77777777" w:rsidR="00A65F5F" w:rsidRPr="005F4BE8" w:rsidRDefault="00A65F5F" w:rsidP="00A65F5F">
      <w:pPr>
        <w:ind w:right="-25"/>
        <w:rPr>
          <w:color w:val="000000" w:themeColor="text1"/>
        </w:rPr>
      </w:pPr>
      <w:r w:rsidRPr="005F4BE8">
        <w:rPr>
          <w:color w:val="000000" w:themeColor="text1"/>
        </w:rPr>
        <w:t xml:space="preserve">Las emisiones de bonos estandarizados pueden ser desinscritas del Registro de Valores e Intermediarios. Para efectuar la desinscripción el emisor debe cumplir con una serie de requisitos previstos en el Reglamento de Oferta Pública a satisfacción de la Superintendencia General de Valores, entre otros, los indicados en el artículo 129, dentro de los cuales se establece que el 100% de los tenedores de los títulos debe estar de acuerdo con la desinscripción. </w:t>
      </w:r>
    </w:p>
    <w:p w14:paraId="43E12FF0" w14:textId="77777777" w:rsidR="00A65F5F" w:rsidRPr="005F4BE8" w:rsidRDefault="00A65F5F" w:rsidP="00A65F5F">
      <w:pPr>
        <w:ind w:right="-25"/>
        <w:rPr>
          <w:color w:val="000000" w:themeColor="text1"/>
        </w:rPr>
      </w:pPr>
    </w:p>
    <w:p w14:paraId="30F8EAFF" w14:textId="77777777" w:rsidR="00A65F5F" w:rsidRPr="005F4BE8" w:rsidRDefault="00A65F5F" w:rsidP="00A65F5F">
      <w:pPr>
        <w:ind w:right="-25"/>
        <w:rPr>
          <w:color w:val="000000" w:themeColor="text1"/>
        </w:rPr>
      </w:pPr>
      <w:r w:rsidRPr="005F4BE8">
        <w:rPr>
          <w:color w:val="000000" w:themeColor="text1"/>
        </w:rPr>
        <w:t>En el caso que se desinscriba la emisión y no se liquiden los valores, los inversionistas no contarían con información periódica ni podrían negociar los valores en el mercado secundario.</w:t>
      </w:r>
    </w:p>
    <w:p w14:paraId="585C0630" w14:textId="77777777" w:rsidR="00A65F5F" w:rsidRPr="005F4BE8" w:rsidRDefault="00A65F5F" w:rsidP="00A65F5F">
      <w:pPr>
        <w:ind w:right="-25"/>
        <w:rPr>
          <w:color w:val="000000" w:themeColor="text1"/>
        </w:rPr>
      </w:pPr>
    </w:p>
    <w:p w14:paraId="5D663933" w14:textId="77777777" w:rsidR="00A65F5F" w:rsidRPr="005F4BE8" w:rsidRDefault="00A65F5F" w:rsidP="00A65F5F">
      <w:pPr>
        <w:pStyle w:val="Ttulo4"/>
        <w:numPr>
          <w:ilvl w:val="0"/>
          <w:numId w:val="7"/>
        </w:numPr>
        <w:rPr>
          <w:color w:val="000000" w:themeColor="text1"/>
        </w:rPr>
      </w:pPr>
      <w:r w:rsidRPr="005F4BE8">
        <w:rPr>
          <w:color w:val="000000" w:themeColor="text1"/>
        </w:rPr>
        <w:t>Riesgo por la posibilidad de que el emisor pague los intereses y principal en colones.</w:t>
      </w:r>
    </w:p>
    <w:p w14:paraId="35AD4A98" w14:textId="77777777" w:rsidR="00A65F5F" w:rsidRDefault="00A65F5F" w:rsidP="00A65F5F">
      <w:pPr>
        <w:ind w:right="-25"/>
        <w:rPr>
          <w:color w:val="000000" w:themeColor="text1"/>
        </w:rPr>
      </w:pPr>
      <w:r w:rsidRPr="005F4BE8">
        <w:rPr>
          <w:color w:val="000000" w:themeColor="text1"/>
        </w:rPr>
        <w:t>Existe el riesgo que, ante la presencia de algún grado de inestabilidad macroeconómica relevante, el ICE no pueda disponer de las divisas necesarias para cancelarles a los inversionistas sus beneficios en la moneda funcional de la Emisión.  En consecuencia, el ICE podría recurrir a cancelar el principal y los</w:t>
      </w:r>
      <w:r>
        <w:rPr>
          <w:color w:val="000000" w:themeColor="text1"/>
        </w:rPr>
        <w:t xml:space="preserve"> intereses en moneda nacional, </w:t>
      </w:r>
      <w:r w:rsidRPr="005F4BE8">
        <w:rPr>
          <w:color w:val="000000" w:themeColor="text1"/>
        </w:rPr>
        <w:t xml:space="preserve">de conformidad con lo estipulado en </w:t>
      </w:r>
      <w:r w:rsidRPr="00DB1651">
        <w:rPr>
          <w:color w:val="000000" w:themeColor="text1"/>
        </w:rPr>
        <w:t>el artículo 48 de la Ley</w:t>
      </w:r>
      <w:r w:rsidRPr="005F4BE8">
        <w:rPr>
          <w:color w:val="000000" w:themeColor="text1"/>
        </w:rPr>
        <w:t xml:space="preserve"> Orgánica del Banco Central de Costa Rica. </w:t>
      </w:r>
    </w:p>
    <w:p w14:paraId="541386BA" w14:textId="77777777" w:rsidR="00A65F5F" w:rsidRPr="005F4BE8" w:rsidRDefault="00A65F5F" w:rsidP="00EF0D70">
      <w:pPr>
        <w:pStyle w:val="Ttulo3"/>
        <w:numPr>
          <w:ilvl w:val="2"/>
          <w:numId w:val="45"/>
        </w:numPr>
        <w:ind w:left="0" w:firstLine="0"/>
        <w:rPr>
          <w:color w:val="000000" w:themeColor="text1"/>
        </w:rPr>
      </w:pPr>
      <w:r w:rsidRPr="005F4BE8">
        <w:rPr>
          <w:color w:val="000000" w:themeColor="text1"/>
        </w:rPr>
        <w:t xml:space="preserve">  </w:t>
      </w:r>
      <w:bookmarkStart w:id="840" w:name="_Toc304737171"/>
      <w:bookmarkStart w:id="841" w:name="_Toc343676000"/>
      <w:bookmarkStart w:id="842" w:name="_Toc358619363"/>
      <w:bookmarkStart w:id="843" w:name="_Toc358620628"/>
      <w:bookmarkStart w:id="844" w:name="_Toc358621835"/>
      <w:bookmarkStart w:id="845" w:name="_Toc358622812"/>
      <w:bookmarkStart w:id="846" w:name="_Toc421264449"/>
      <w:bookmarkStart w:id="847" w:name="_Toc26357121"/>
      <w:bookmarkStart w:id="848" w:name="_Toc138664910"/>
      <w:r w:rsidRPr="005F4BE8">
        <w:rPr>
          <w:color w:val="000000" w:themeColor="text1"/>
        </w:rPr>
        <w:t xml:space="preserve">Riesgos </w:t>
      </w:r>
      <w:r>
        <w:rPr>
          <w:color w:val="000000" w:themeColor="text1"/>
        </w:rPr>
        <w:t>emisor</w:t>
      </w:r>
      <w:r w:rsidRPr="005F4BE8">
        <w:rPr>
          <w:color w:val="000000" w:themeColor="text1"/>
        </w:rPr>
        <w:t xml:space="preserve"> Instituto Costarricense de Electricidad.</w:t>
      </w:r>
      <w:bookmarkEnd w:id="840"/>
      <w:bookmarkEnd w:id="841"/>
      <w:bookmarkEnd w:id="842"/>
      <w:bookmarkEnd w:id="843"/>
      <w:bookmarkEnd w:id="844"/>
      <w:bookmarkEnd w:id="845"/>
      <w:bookmarkEnd w:id="846"/>
      <w:bookmarkEnd w:id="847"/>
      <w:bookmarkEnd w:id="848"/>
    </w:p>
    <w:p w14:paraId="0C2481CA" w14:textId="77777777" w:rsidR="00A65F5F" w:rsidRPr="005F4BE8" w:rsidRDefault="00A65F5F" w:rsidP="00A65F5F">
      <w:pPr>
        <w:ind w:left="-540" w:right="-25"/>
        <w:rPr>
          <w:color w:val="000000" w:themeColor="text1"/>
        </w:rPr>
      </w:pPr>
    </w:p>
    <w:p w14:paraId="6F93CB4B" w14:textId="77777777" w:rsidR="00A65F5F" w:rsidRPr="005F4BE8" w:rsidRDefault="00A65F5F" w:rsidP="00A65F5F">
      <w:pPr>
        <w:ind w:left="-540" w:right="-25"/>
        <w:rPr>
          <w:color w:val="000000" w:themeColor="text1"/>
        </w:rPr>
      </w:pPr>
      <w:r w:rsidRPr="005F4BE8">
        <w:rPr>
          <w:color w:val="000000" w:themeColor="text1"/>
        </w:rPr>
        <w:t>Los riesgos propios del emisor son originados por todos aquellos factores propios de la administración y que pueden llegar a tener incidencia en los resultados del ICE y por consiguiente en la capacidad de pago a sus inversionistas; así como el efecto en el valor de los títulos</w:t>
      </w:r>
      <w:r>
        <w:rPr>
          <w:color w:val="000000" w:themeColor="text1"/>
        </w:rPr>
        <w:t xml:space="preserve"> según la naturaleza de la industria de telecomunicaciones y electricidad</w:t>
      </w:r>
      <w:r w:rsidRPr="005F4BE8">
        <w:rPr>
          <w:color w:val="000000" w:themeColor="text1"/>
        </w:rPr>
        <w:t>.</w:t>
      </w:r>
    </w:p>
    <w:p w14:paraId="13EADCD5" w14:textId="77777777" w:rsidR="00A65F5F" w:rsidRPr="005F4BE8" w:rsidRDefault="00A65F5F" w:rsidP="00A65F5F">
      <w:pPr>
        <w:ind w:right="-25"/>
        <w:rPr>
          <w:color w:val="000000" w:themeColor="text1"/>
        </w:rPr>
      </w:pPr>
    </w:p>
    <w:p w14:paraId="3426901A" w14:textId="77777777" w:rsidR="00A65F5F" w:rsidRPr="005F4BE8" w:rsidRDefault="00A65F5F" w:rsidP="00A65F5F">
      <w:pPr>
        <w:pStyle w:val="Ttulo4"/>
        <w:numPr>
          <w:ilvl w:val="0"/>
          <w:numId w:val="3"/>
        </w:numPr>
        <w:tabs>
          <w:tab w:val="left" w:pos="-142"/>
        </w:tabs>
        <w:ind w:firstLine="464"/>
        <w:rPr>
          <w:color w:val="000000" w:themeColor="text1"/>
        </w:rPr>
      </w:pPr>
      <w:r w:rsidRPr="005F4BE8">
        <w:rPr>
          <w:color w:val="000000" w:themeColor="text1"/>
        </w:rPr>
        <w:t>Riesgo de concentración de clientes</w:t>
      </w:r>
    </w:p>
    <w:p w14:paraId="4672FC2D" w14:textId="77777777" w:rsidR="00A65F5F" w:rsidRDefault="00A65F5F" w:rsidP="00A65F5F">
      <w:pPr>
        <w:ind w:right="-25"/>
        <w:rPr>
          <w:color w:val="000000" w:themeColor="text1"/>
        </w:rPr>
      </w:pPr>
      <w:r w:rsidRPr="005F4BE8">
        <w:rPr>
          <w:color w:val="000000" w:themeColor="text1"/>
        </w:rPr>
        <w:t xml:space="preserve">Este riesgo se define como una alta concentración de la empresa en un segmento específico de clientes, lo que conlleva a un riesgo de dependencia de la actividad del cliente, o en su defecto la posibilidad de que el cliente intente cambiar las condiciones de la relación comercial con la empresa. </w:t>
      </w:r>
    </w:p>
    <w:p w14:paraId="4441362B" w14:textId="77777777" w:rsidR="00A65F5F" w:rsidRDefault="00A65F5F" w:rsidP="00A65F5F">
      <w:pPr>
        <w:ind w:right="-25"/>
        <w:rPr>
          <w:color w:val="000000" w:themeColor="text1"/>
        </w:rPr>
      </w:pPr>
    </w:p>
    <w:p w14:paraId="14C7F813" w14:textId="77777777" w:rsidR="00A65F5F" w:rsidRPr="005F4BE8" w:rsidRDefault="00A65F5F" w:rsidP="00A65F5F">
      <w:pPr>
        <w:pStyle w:val="Ttulo4"/>
        <w:numPr>
          <w:ilvl w:val="0"/>
          <w:numId w:val="3"/>
        </w:numPr>
        <w:tabs>
          <w:tab w:val="left" w:pos="-142"/>
        </w:tabs>
        <w:ind w:firstLine="464"/>
        <w:rPr>
          <w:color w:val="000000" w:themeColor="text1"/>
        </w:rPr>
      </w:pPr>
      <w:r w:rsidRPr="005F4BE8">
        <w:rPr>
          <w:color w:val="000000" w:themeColor="text1"/>
        </w:rPr>
        <w:t>Riesgo concentración de proveedores</w:t>
      </w:r>
    </w:p>
    <w:p w14:paraId="5684AC52" w14:textId="77777777" w:rsidR="00A65F5F" w:rsidRPr="005F4BE8" w:rsidRDefault="00A65F5F" w:rsidP="00A65F5F">
      <w:pPr>
        <w:ind w:right="-25"/>
        <w:rPr>
          <w:color w:val="000000" w:themeColor="text1"/>
        </w:rPr>
      </w:pPr>
      <w:r w:rsidRPr="005F4BE8">
        <w:rPr>
          <w:color w:val="000000" w:themeColor="text1"/>
        </w:rPr>
        <w:t>Es el riesgo al que se enfrenta una empresa cuando el suministro de su materia prima se concentra en pocos proveedores, exponiéndola al posible desabastecimiento en función de capacidad o interés de los proveedores para suplir las necesidades del cliente. Asimismo, la exposición a este riesgo podría favorecer cambios en las condiciones comerciales forzadas por los proveedores (precios, cantidades, condiciones de crédito, plazos de entrega, etc.).</w:t>
      </w:r>
    </w:p>
    <w:p w14:paraId="3AD3A134" w14:textId="77777777" w:rsidR="00A65F5F" w:rsidRPr="005F4BE8" w:rsidRDefault="00A65F5F" w:rsidP="00A65F5F">
      <w:pPr>
        <w:ind w:right="-25"/>
        <w:rPr>
          <w:color w:val="000000" w:themeColor="text1"/>
        </w:rPr>
      </w:pPr>
    </w:p>
    <w:p w14:paraId="63DC1271" w14:textId="77777777" w:rsidR="00A65F5F" w:rsidRPr="005F4BE8" w:rsidRDefault="00A65F5F" w:rsidP="00A65F5F">
      <w:pPr>
        <w:pStyle w:val="Ttulo4"/>
        <w:numPr>
          <w:ilvl w:val="0"/>
          <w:numId w:val="3"/>
        </w:numPr>
        <w:tabs>
          <w:tab w:val="left" w:pos="-142"/>
        </w:tabs>
        <w:ind w:firstLine="464"/>
        <w:rPr>
          <w:color w:val="000000" w:themeColor="text1"/>
        </w:rPr>
      </w:pPr>
      <w:r w:rsidRPr="005F4BE8">
        <w:rPr>
          <w:color w:val="000000" w:themeColor="text1"/>
        </w:rPr>
        <w:t>Riesgo en el desarrollo de infraestructura</w:t>
      </w:r>
    </w:p>
    <w:p w14:paraId="0CBC6EFE" w14:textId="01C0B2D3" w:rsidR="00E10B49" w:rsidRPr="00E10B49" w:rsidRDefault="00E10B49" w:rsidP="00E10B49">
      <w:pPr>
        <w:pStyle w:val="Prrafodelista"/>
        <w:ind w:left="-180" w:right="-25"/>
        <w:rPr>
          <w:color w:val="000000" w:themeColor="text1"/>
        </w:rPr>
      </w:pPr>
      <w:r w:rsidRPr="00E10B49">
        <w:rPr>
          <w:color w:val="000000" w:themeColor="text1"/>
        </w:rPr>
        <w:t xml:space="preserve">El desarrollo de la infraestructura eléctrica y de telecomunicaciones en el ICE es un proceso crítico para la organización.   Los proyectos se someten normalmente a extensos procesos de diseño y existen varios factores que pueden afectar el cumplimiento de los objetivos planteados entre los que se destacan: (i) subestimación de costos e inversiones, (ii) retraso en el suministro de proveedores (materiales y equipos), (iii) </w:t>
      </w:r>
      <w:r w:rsidR="00EF2A17">
        <w:rPr>
          <w:color w:val="000000" w:themeColor="text1"/>
        </w:rPr>
        <w:tab/>
      </w:r>
      <w:r w:rsidRPr="00E10B49">
        <w:rPr>
          <w:color w:val="000000" w:themeColor="text1"/>
        </w:rPr>
        <w:t>errores en la supervisión del desarrollo de los proyectos, (iv) problemas en los procesos de contratación administrativa, (v) retrasos en la construcción, instalación y puesta en marcha, (vi) errores en la etapa de planificación de los proyectos</w:t>
      </w:r>
      <w:r>
        <w:rPr>
          <w:color w:val="000000" w:themeColor="text1"/>
        </w:rPr>
        <w:t>.</w:t>
      </w:r>
    </w:p>
    <w:p w14:paraId="33FAB601" w14:textId="77777777" w:rsidR="00E10B49" w:rsidRPr="00E10B49" w:rsidRDefault="00E10B49" w:rsidP="00E10B49">
      <w:pPr>
        <w:pStyle w:val="Prrafodelista"/>
        <w:ind w:left="-180" w:right="-25"/>
        <w:rPr>
          <w:color w:val="000000" w:themeColor="text1"/>
        </w:rPr>
      </w:pPr>
    </w:p>
    <w:p w14:paraId="342512E4" w14:textId="77777777" w:rsidR="00E10B49" w:rsidRPr="00E10B49" w:rsidRDefault="00E10B49" w:rsidP="00E10B49">
      <w:pPr>
        <w:pStyle w:val="Prrafodelista"/>
        <w:ind w:left="-180" w:right="-25"/>
        <w:rPr>
          <w:color w:val="000000" w:themeColor="text1"/>
        </w:rPr>
      </w:pPr>
      <w:r w:rsidRPr="00E10B49">
        <w:rPr>
          <w:color w:val="000000" w:themeColor="text1"/>
        </w:rPr>
        <w:t xml:space="preserve">Estos factores pueden eventualmente traducirse en una variación del costo final, retrasos en el cumplimiento de metas estratégicas, insuficiencia de la capacidad instalada para atender la demanda y calidad en la entrega del servicio entre otros, o decisión de no continuar con un proyecto que está en etapa avanzada.   En caso de ocurrir una o varias de las situaciones antes mencionadas, la capacidad de generación de ingresos de la Institución se vería afectada, así como su imagen. Los resultados de los Estados Financieros, así como su flujo de caja, podrían reducirse por una menor generación de ingresos y por mayores costos requeridos para atender de manera alternativa la demanda de los servicios de electricidad y telecomunicaciones. </w:t>
      </w:r>
    </w:p>
    <w:p w14:paraId="0D527618" w14:textId="77777777" w:rsidR="00A65F5F" w:rsidRPr="005F4BE8" w:rsidRDefault="00A65F5F" w:rsidP="00A65F5F">
      <w:pPr>
        <w:ind w:right="-25"/>
        <w:rPr>
          <w:color w:val="000000" w:themeColor="text1"/>
        </w:rPr>
      </w:pPr>
    </w:p>
    <w:p w14:paraId="2F893237" w14:textId="77777777" w:rsidR="00A65F5F" w:rsidRPr="005F4BE8" w:rsidRDefault="00A65F5F" w:rsidP="00A65F5F">
      <w:pPr>
        <w:pStyle w:val="Ttulo4"/>
        <w:numPr>
          <w:ilvl w:val="0"/>
          <w:numId w:val="3"/>
        </w:numPr>
        <w:ind w:firstLine="464"/>
        <w:rPr>
          <w:color w:val="000000" w:themeColor="text1"/>
        </w:rPr>
      </w:pPr>
      <w:r w:rsidRPr="005F4BE8">
        <w:rPr>
          <w:color w:val="000000" w:themeColor="text1"/>
        </w:rPr>
        <w:t>Riesgos por valoración de inventarios</w:t>
      </w:r>
    </w:p>
    <w:p w14:paraId="3D582400" w14:textId="77777777" w:rsidR="00A65F5F" w:rsidRPr="005F4BE8" w:rsidRDefault="00A65F5F" w:rsidP="00A65F5F">
      <w:pPr>
        <w:ind w:right="-25"/>
        <w:rPr>
          <w:color w:val="000000" w:themeColor="text1"/>
        </w:rPr>
      </w:pPr>
      <w:r w:rsidRPr="005F4BE8">
        <w:rPr>
          <w:color w:val="000000" w:themeColor="text1"/>
        </w:rPr>
        <w:t>Es la probabilidad de pérdidas derivadas de una variación negativa en el valor de los inventarios o derivada de la volatilidad del precio de los bienes que lo conforman. Para el adecuado desempeño de los servicios, el ICE debe mantener inventarios de ciertos bienes (cable</w:t>
      </w:r>
      <w:r>
        <w:rPr>
          <w:color w:val="000000" w:themeColor="text1"/>
        </w:rPr>
        <w:t>s</w:t>
      </w:r>
      <w:r w:rsidRPr="005F4BE8">
        <w:rPr>
          <w:color w:val="000000" w:themeColor="text1"/>
        </w:rPr>
        <w:t>, dispositivos, combustibles, materiales y equipos para la construcción, repuestos, etc.), en cantidades suficientes para atender, en forma casi inmediata, eventuales emergencias.  Algunos de esos bienes podrían, sin embargo, no ser usados por periodos prolongados y, eventualmente, convertirse en obsoletos debido a cambios tecnológicos.  En ese caso, alguna parte del activo podría tener que retirarse de los balances, afectando los resultados.</w:t>
      </w:r>
    </w:p>
    <w:p w14:paraId="7969DA6E" w14:textId="77777777" w:rsidR="00A65F5F" w:rsidRPr="005F4BE8" w:rsidRDefault="00A65F5F" w:rsidP="00A65F5F">
      <w:pPr>
        <w:ind w:left="-540" w:right="-25"/>
        <w:rPr>
          <w:color w:val="000000" w:themeColor="text1"/>
        </w:rPr>
      </w:pPr>
    </w:p>
    <w:p w14:paraId="6CEDA445" w14:textId="77777777" w:rsidR="00A65F5F" w:rsidRDefault="00A65F5F" w:rsidP="00A65F5F">
      <w:pPr>
        <w:pStyle w:val="Ttulo4"/>
        <w:numPr>
          <w:ilvl w:val="0"/>
          <w:numId w:val="3"/>
        </w:numPr>
        <w:ind w:firstLine="464"/>
        <w:rPr>
          <w:color w:val="000000" w:themeColor="text1"/>
        </w:rPr>
      </w:pPr>
      <w:r>
        <w:rPr>
          <w:color w:val="000000" w:themeColor="text1"/>
        </w:rPr>
        <w:t>Riesgo operativo</w:t>
      </w:r>
    </w:p>
    <w:p w14:paraId="73C3E413" w14:textId="77777777" w:rsidR="00A65F5F" w:rsidRPr="005F4BE8" w:rsidRDefault="00A65F5F" w:rsidP="00A65F5F">
      <w:pPr>
        <w:ind w:right="-25"/>
        <w:rPr>
          <w:color w:val="000000" w:themeColor="text1"/>
        </w:rPr>
      </w:pPr>
      <w:r w:rsidRPr="005F4BE8">
        <w:rPr>
          <w:color w:val="000000" w:themeColor="text1"/>
        </w:rPr>
        <w:t xml:space="preserve">Los riesgos operacionales se definen como aquellos riesgos relacionados con aspectos de manejo y operación del ICE. Dentro de estos riesgos se incluyen los derivados de sistemas de información operativos y gerenciales inadecuados o inexistentes; procedimientos desactualizados o inoperantes; controles internos ineficaces; o personal insuficientemente capacitado o desmotivado.  El riesgo se podría manifestar en forma de estafas, por disposición de manera delictuosa de los recursos de los clientes o de la institución. Así mismo, podría manifestarse a través de fallos en los sistemas informáticos de la empresa o en los sistemas de seguridad de las instalaciones, situaciones que podrían originar pérdidas de información o incluso hasta de fondos que eventualmente deban ser cubiertos por la institución. </w:t>
      </w:r>
      <w:r>
        <w:rPr>
          <w:color w:val="000000" w:themeColor="text1"/>
        </w:rPr>
        <w:t>Adicionalmente se</w:t>
      </w:r>
      <w:r w:rsidRPr="005F4BE8">
        <w:rPr>
          <w:color w:val="000000" w:themeColor="text1"/>
        </w:rPr>
        <w:t xml:space="preserve"> podría presentar retrasos en el suministro de la información financiera periódica al mercado en general lo que podría generar que inversionistas y demás participantes del mercado de valores tomen decisiones basadas en inform</w:t>
      </w:r>
      <w:r>
        <w:rPr>
          <w:color w:val="000000" w:themeColor="text1"/>
        </w:rPr>
        <w:t>ación financiera desactualizada</w:t>
      </w:r>
      <w:r w:rsidRPr="005F4BE8">
        <w:rPr>
          <w:color w:val="000000" w:themeColor="text1"/>
        </w:rPr>
        <w:t>.</w:t>
      </w:r>
    </w:p>
    <w:p w14:paraId="3D11943B" w14:textId="77777777" w:rsidR="00A65F5F" w:rsidRPr="005F4BE8" w:rsidRDefault="00A65F5F" w:rsidP="00A65F5F">
      <w:pPr>
        <w:ind w:right="-25"/>
        <w:rPr>
          <w:color w:val="000000" w:themeColor="text1"/>
        </w:rPr>
      </w:pPr>
    </w:p>
    <w:p w14:paraId="6670617D" w14:textId="77777777" w:rsidR="00A65F5F" w:rsidRPr="005F4BE8" w:rsidRDefault="00A65F5F" w:rsidP="00A65F5F">
      <w:pPr>
        <w:ind w:right="-25"/>
        <w:rPr>
          <w:color w:val="000000" w:themeColor="text1"/>
        </w:rPr>
      </w:pPr>
      <w:r w:rsidRPr="005F4BE8">
        <w:rPr>
          <w:color w:val="000000" w:themeColor="text1"/>
        </w:rPr>
        <w:t>La posibilidad de que se produzcan pérdidas económicas aún a pesar de contar con los procedimientos y controles necesarios, constituye el riesgo operacional de la entidad.</w:t>
      </w:r>
    </w:p>
    <w:p w14:paraId="0058F23F" w14:textId="77777777" w:rsidR="00A65F5F" w:rsidRPr="005F4BE8" w:rsidRDefault="00A65F5F" w:rsidP="00A65F5F">
      <w:pPr>
        <w:ind w:right="-25"/>
        <w:rPr>
          <w:color w:val="000000" w:themeColor="text1"/>
        </w:rPr>
      </w:pPr>
    </w:p>
    <w:p w14:paraId="6F521BB2" w14:textId="77777777" w:rsidR="00A65F5F" w:rsidRPr="005F4BE8" w:rsidRDefault="00A65F5F" w:rsidP="00A65F5F">
      <w:pPr>
        <w:pStyle w:val="Ttulo4"/>
        <w:numPr>
          <w:ilvl w:val="0"/>
          <w:numId w:val="3"/>
        </w:numPr>
        <w:ind w:firstLine="464"/>
        <w:rPr>
          <w:color w:val="000000" w:themeColor="text1"/>
        </w:rPr>
      </w:pPr>
      <w:r w:rsidRPr="005F4BE8">
        <w:rPr>
          <w:color w:val="000000" w:themeColor="text1"/>
        </w:rPr>
        <w:t>Riesgo legal</w:t>
      </w:r>
    </w:p>
    <w:p w14:paraId="3BFD8070" w14:textId="77777777" w:rsidR="00A65F5F" w:rsidRPr="005F4BE8" w:rsidRDefault="00A65F5F" w:rsidP="00A65F5F">
      <w:pPr>
        <w:ind w:right="-25"/>
        <w:rPr>
          <w:color w:val="000000" w:themeColor="text1"/>
        </w:rPr>
      </w:pPr>
      <w:r w:rsidRPr="005F4BE8">
        <w:rPr>
          <w:color w:val="000000" w:themeColor="text1"/>
        </w:rPr>
        <w:t>El riesgo legal se define como los posibles perjuicios que pueden enfrentar el ICE y sus subsidiarias como consecuencia de las demandas que se deriven de contratos con proveedores, clientes o empresas con las que se realiza actividades comerciales, incumplimiento de disposiciones legales que regulan su operación, sus contratos, o bien por ambigüedades en las normas legales. Estos perjuicios eventualmente podrían tener un efecto económico negativo en los resultados y en el patrimonio del emisor.</w:t>
      </w:r>
    </w:p>
    <w:p w14:paraId="07352BD2" w14:textId="77777777" w:rsidR="00A65F5F" w:rsidRPr="005F4BE8" w:rsidRDefault="00A65F5F" w:rsidP="00A65F5F">
      <w:pPr>
        <w:pStyle w:val="Ttulo4"/>
        <w:numPr>
          <w:ilvl w:val="0"/>
          <w:numId w:val="3"/>
        </w:numPr>
        <w:ind w:firstLine="464"/>
        <w:rPr>
          <w:color w:val="000000" w:themeColor="text1"/>
        </w:rPr>
      </w:pPr>
      <w:r w:rsidRPr="005F4BE8">
        <w:rPr>
          <w:color w:val="000000" w:themeColor="text1"/>
        </w:rPr>
        <w:t>Riesgo político</w:t>
      </w:r>
    </w:p>
    <w:p w14:paraId="1DDED6AE" w14:textId="77777777" w:rsidR="00A65F5F" w:rsidRPr="005F4BE8" w:rsidRDefault="00A65F5F" w:rsidP="00A65F5F">
      <w:pPr>
        <w:ind w:right="-25"/>
        <w:rPr>
          <w:color w:val="000000" w:themeColor="text1"/>
        </w:rPr>
      </w:pPr>
      <w:r w:rsidRPr="005F4BE8">
        <w:rPr>
          <w:color w:val="000000" w:themeColor="text1"/>
        </w:rPr>
        <w:t>El ICE es una entidad controlada por el Gobierno de Costa Rica, el cual podría tomar decisiones y acciones que no busquen necesariamente el mayor beneficio económico para la entidad, lo cual podría diferir de los inter</w:t>
      </w:r>
      <w:r w:rsidR="00B627F4">
        <w:rPr>
          <w:color w:val="000000" w:themeColor="text1"/>
        </w:rPr>
        <w:t>e</w:t>
      </w:r>
      <w:r w:rsidRPr="005F4BE8">
        <w:rPr>
          <w:color w:val="000000" w:themeColor="text1"/>
        </w:rPr>
        <w:t>s</w:t>
      </w:r>
      <w:r w:rsidR="00B627F4">
        <w:rPr>
          <w:color w:val="000000" w:themeColor="text1"/>
        </w:rPr>
        <w:t>es</w:t>
      </w:r>
      <w:r w:rsidRPr="005F4BE8">
        <w:rPr>
          <w:color w:val="000000" w:themeColor="text1"/>
        </w:rPr>
        <w:t xml:space="preserve"> de los tenedores de bonos.</w:t>
      </w:r>
    </w:p>
    <w:p w14:paraId="08DE9E51" w14:textId="77777777" w:rsidR="00A65F5F" w:rsidRPr="005F4BE8" w:rsidRDefault="00A65F5F" w:rsidP="00A65F5F">
      <w:pPr>
        <w:ind w:right="-25"/>
        <w:rPr>
          <w:color w:val="000000" w:themeColor="text1"/>
        </w:rPr>
      </w:pPr>
    </w:p>
    <w:p w14:paraId="5F6C3961" w14:textId="77777777" w:rsidR="00A65F5F" w:rsidRPr="005F4BE8" w:rsidRDefault="00A65F5F" w:rsidP="00A65F5F">
      <w:pPr>
        <w:ind w:right="-25"/>
        <w:rPr>
          <w:color w:val="000000" w:themeColor="text1"/>
        </w:rPr>
      </w:pPr>
      <w:r w:rsidRPr="005F4BE8">
        <w:rPr>
          <w:color w:val="000000" w:themeColor="text1"/>
        </w:rPr>
        <w:t xml:space="preserve">Aunque el ICE es una entidad autónoma, el Gobierno indirectamente impacta en la toma de </w:t>
      </w:r>
      <w:r>
        <w:rPr>
          <w:color w:val="000000" w:themeColor="text1"/>
        </w:rPr>
        <w:t xml:space="preserve">sus </w:t>
      </w:r>
      <w:r w:rsidRPr="005F4BE8">
        <w:rPr>
          <w:color w:val="000000" w:themeColor="text1"/>
        </w:rPr>
        <w:t xml:space="preserve">decisiones. Es de esta manera que existe un riesgo de que la influencia política resulte en cambios en la estructura misma del ICE o en normas que regulan su operación, lo cual podría modificar las expectativas de generación de utilidades de la entidad. </w:t>
      </w:r>
    </w:p>
    <w:p w14:paraId="55E221AB" w14:textId="77777777" w:rsidR="00A65F5F" w:rsidRPr="005F4BE8" w:rsidRDefault="00A65F5F" w:rsidP="00A65F5F">
      <w:pPr>
        <w:ind w:right="-25"/>
        <w:rPr>
          <w:color w:val="000000" w:themeColor="text1"/>
        </w:rPr>
      </w:pPr>
    </w:p>
    <w:p w14:paraId="5F327862" w14:textId="77777777" w:rsidR="00A65F5F" w:rsidRPr="005F4BE8" w:rsidRDefault="00A65F5F" w:rsidP="00A65F5F">
      <w:pPr>
        <w:ind w:right="-25"/>
        <w:rPr>
          <w:color w:val="000000" w:themeColor="text1"/>
        </w:rPr>
      </w:pPr>
      <w:r w:rsidRPr="005F4BE8">
        <w:rPr>
          <w:color w:val="000000" w:themeColor="text1"/>
        </w:rPr>
        <w:t>Aspectos tales como la fijación del nivel de tarifas de los servicios brindados por el ICE, reformas en leyes o reglamento</w:t>
      </w:r>
      <w:r>
        <w:rPr>
          <w:color w:val="000000" w:themeColor="text1"/>
        </w:rPr>
        <w:t>s que afecten la operación del I</w:t>
      </w:r>
      <w:r w:rsidRPr="005F4BE8">
        <w:rPr>
          <w:color w:val="000000" w:themeColor="text1"/>
        </w:rPr>
        <w:t>nstituto, modificaciones en los planes de desarrollo de proyectos de infraestructura, y hasta la apertura a la competencia de servicios tales como la generación y distribución de electricidad son riesgos que son asociados al negocio del ICE dada la naturaleza de la entidad.</w:t>
      </w:r>
    </w:p>
    <w:p w14:paraId="2E412A95" w14:textId="77777777" w:rsidR="00A65F5F" w:rsidRPr="005F4BE8" w:rsidRDefault="00A65F5F" w:rsidP="00A65F5F">
      <w:pPr>
        <w:ind w:left="-207" w:right="-25"/>
        <w:rPr>
          <w:color w:val="000000" w:themeColor="text1"/>
        </w:rPr>
      </w:pPr>
    </w:p>
    <w:p w14:paraId="150B6DF3" w14:textId="77777777" w:rsidR="00A65F5F" w:rsidRPr="005F4BE8" w:rsidRDefault="00A65F5F" w:rsidP="00A65F5F">
      <w:pPr>
        <w:pStyle w:val="Ttulo4"/>
        <w:numPr>
          <w:ilvl w:val="0"/>
          <w:numId w:val="3"/>
        </w:numPr>
        <w:ind w:firstLine="464"/>
        <w:rPr>
          <w:color w:val="000000" w:themeColor="text1"/>
        </w:rPr>
      </w:pPr>
      <w:r w:rsidRPr="005F4BE8">
        <w:rPr>
          <w:color w:val="000000" w:themeColor="text1"/>
        </w:rPr>
        <w:t xml:space="preserve">Riesgo geológico </w:t>
      </w:r>
    </w:p>
    <w:p w14:paraId="7285B241" w14:textId="77777777" w:rsidR="00A65F5F" w:rsidRPr="005F4BE8" w:rsidRDefault="00A65F5F" w:rsidP="00A65F5F">
      <w:pPr>
        <w:ind w:right="-25"/>
        <w:rPr>
          <w:color w:val="000000" w:themeColor="text1"/>
        </w:rPr>
      </w:pPr>
      <w:r w:rsidRPr="005F4BE8">
        <w:rPr>
          <w:color w:val="000000" w:themeColor="text1"/>
        </w:rPr>
        <w:t>Existe un riesgo de que las condiciones geológicas de algunos proyectos que ejecute el ICE no sean las esperadas o las establecidas en los análisis del anteproyecto, lo cual podría generar un aumento en el costo o un retraso en la construcción de dicho proyecto. El riesgo geológico se asocia a las variaciones sustanciales en las condiciones de las obras, excavaciones de terreno, etc. Dichos cambios geológicos podría</w:t>
      </w:r>
      <w:r w:rsidR="00B627F4">
        <w:rPr>
          <w:color w:val="000000" w:themeColor="text1"/>
        </w:rPr>
        <w:t>n</w:t>
      </w:r>
      <w:r w:rsidRPr="005F4BE8">
        <w:rPr>
          <w:color w:val="000000" w:themeColor="text1"/>
        </w:rPr>
        <w:t xml:space="preserve"> afectar la rentabilidad y la liquidez del ICE</w:t>
      </w:r>
    </w:p>
    <w:p w14:paraId="0E14638C" w14:textId="77777777" w:rsidR="00A65F5F" w:rsidRPr="005F4BE8" w:rsidRDefault="00A65F5F" w:rsidP="00A65F5F">
      <w:pPr>
        <w:ind w:right="-25"/>
        <w:rPr>
          <w:color w:val="000000" w:themeColor="text1"/>
        </w:rPr>
      </w:pPr>
    </w:p>
    <w:p w14:paraId="3F3BB61F" w14:textId="77777777" w:rsidR="00A65F5F" w:rsidRDefault="00A65F5F" w:rsidP="00A65F5F">
      <w:pPr>
        <w:pStyle w:val="Ttulo4"/>
        <w:numPr>
          <w:ilvl w:val="0"/>
          <w:numId w:val="3"/>
        </w:numPr>
        <w:ind w:firstLine="464"/>
        <w:rPr>
          <w:color w:val="000000" w:themeColor="text1"/>
        </w:rPr>
      </w:pPr>
      <w:r w:rsidRPr="005F4BE8">
        <w:rPr>
          <w:color w:val="000000" w:themeColor="text1"/>
        </w:rPr>
        <w:t>Riesgo en la posibilidad de atrasos en las expropiaciones que sean necesarias para       ejecutar proyectos</w:t>
      </w:r>
    </w:p>
    <w:p w14:paraId="70C688F1" w14:textId="77777777" w:rsidR="00A65F5F" w:rsidRPr="006C01DE" w:rsidRDefault="00A65F5F" w:rsidP="00A65F5F"/>
    <w:p w14:paraId="0B8082E9" w14:textId="77777777" w:rsidR="00A65F5F" w:rsidRDefault="00A65F5F" w:rsidP="00A65F5F">
      <w:pPr>
        <w:ind w:right="-25"/>
        <w:rPr>
          <w:color w:val="000000" w:themeColor="text1"/>
        </w:rPr>
      </w:pPr>
      <w:r w:rsidRPr="005F4BE8">
        <w:rPr>
          <w:color w:val="000000" w:themeColor="text1"/>
        </w:rPr>
        <w:t>Algunos de los proyectos elaborados por el ICE requieren expropiar terrenos para el desarrollo de los mismos. Existe un riesgo de que los procesos de expropiación presente</w:t>
      </w:r>
      <w:r w:rsidR="00B627F4">
        <w:rPr>
          <w:color w:val="000000" w:themeColor="text1"/>
        </w:rPr>
        <w:t>n</w:t>
      </w:r>
      <w:r w:rsidRPr="005F4BE8">
        <w:rPr>
          <w:color w:val="000000" w:themeColor="text1"/>
        </w:rPr>
        <w:t xml:space="preserve"> atrasos, lo cual conllevaría a una postergación en el desarrollo del proyecto. Lo anterior podría generar mayores costos de construcción para el ICE y un retraso en el flujo de ingresos que eventualmente genere el proyecto, lo cual podría eventualmente disminuir la rentabilidad y solidez financiera de la entidad.</w:t>
      </w:r>
    </w:p>
    <w:p w14:paraId="5C2AD3C6" w14:textId="77777777" w:rsidR="00C344B9" w:rsidRDefault="00C344B9" w:rsidP="00C344B9">
      <w:pPr>
        <w:pStyle w:val="Ttulo4"/>
        <w:numPr>
          <w:ilvl w:val="0"/>
          <w:numId w:val="3"/>
        </w:numPr>
        <w:ind w:firstLine="464"/>
        <w:rPr>
          <w:color w:val="000000" w:themeColor="text1"/>
        </w:rPr>
      </w:pPr>
      <w:r>
        <w:rPr>
          <w:color w:val="000000" w:themeColor="text1"/>
        </w:rPr>
        <w:t>Riesgo Reputacional</w:t>
      </w:r>
    </w:p>
    <w:p w14:paraId="720B366F" w14:textId="77777777" w:rsidR="00C344B9" w:rsidRDefault="00C344B9" w:rsidP="00C344B9"/>
    <w:p w14:paraId="3334228E" w14:textId="77777777" w:rsidR="00C344B9" w:rsidRDefault="00C344B9" w:rsidP="00C344B9">
      <w:pPr>
        <w:ind w:right="-25"/>
        <w:rPr>
          <w:color w:val="000000" w:themeColor="text1"/>
        </w:rPr>
      </w:pPr>
      <w:r>
        <w:rPr>
          <w:color w:val="000000" w:themeColor="text1"/>
        </w:rPr>
        <w:t xml:space="preserve">Este riesgo se refiere a toda acción, evento o situación que podría impactar negativa la reputación del ICE. </w:t>
      </w:r>
    </w:p>
    <w:p w14:paraId="721E8084" w14:textId="77777777" w:rsidR="00C344B9" w:rsidRDefault="00C344B9" w:rsidP="00C344B9">
      <w:pPr>
        <w:ind w:right="-25"/>
        <w:rPr>
          <w:color w:val="000000" w:themeColor="text1"/>
        </w:rPr>
      </w:pPr>
    </w:p>
    <w:p w14:paraId="17354D7A" w14:textId="77777777" w:rsidR="00C344B9" w:rsidRDefault="00C344B9" w:rsidP="00C344B9">
      <w:pPr>
        <w:ind w:right="-25"/>
        <w:rPr>
          <w:color w:val="000000" w:themeColor="text1"/>
        </w:rPr>
      </w:pPr>
      <w:r>
        <w:rPr>
          <w:color w:val="000000" w:themeColor="text1"/>
        </w:rPr>
        <w:t>Es el riesgo de que una opinión pública impida o disminuya la capacidad de una empresa para hacer negocios.   Podría tenerse algún evento negativo, interno o externo donde el público castigue dejando de usar o comprar servicios.  Los eventos pueden estar relacionados con la calidad del producto o servicio, servicio al cliente, o satisfacción del cliente, a lo que los negocios del ICE, electricidad y telecomunicaciones</w:t>
      </w:r>
      <w:r w:rsidR="00B627F4">
        <w:rPr>
          <w:color w:val="000000" w:themeColor="text1"/>
        </w:rPr>
        <w:t>,</w:t>
      </w:r>
      <w:r>
        <w:rPr>
          <w:color w:val="000000" w:themeColor="text1"/>
        </w:rPr>
        <w:t xml:space="preserve"> puede</w:t>
      </w:r>
      <w:r w:rsidR="00B627F4">
        <w:rPr>
          <w:color w:val="000000" w:themeColor="text1"/>
        </w:rPr>
        <w:t>n</w:t>
      </w:r>
      <w:r>
        <w:rPr>
          <w:color w:val="000000" w:themeColor="text1"/>
        </w:rPr>
        <w:t xml:space="preserve"> </w:t>
      </w:r>
      <w:r w:rsidR="00B627F4">
        <w:rPr>
          <w:color w:val="000000" w:themeColor="text1"/>
        </w:rPr>
        <w:t xml:space="preserve">tener </w:t>
      </w:r>
      <w:r>
        <w:rPr>
          <w:color w:val="000000" w:themeColor="text1"/>
        </w:rPr>
        <w:t xml:space="preserve">mucha exposición. </w:t>
      </w:r>
    </w:p>
    <w:p w14:paraId="72EA0F2B" w14:textId="77777777" w:rsidR="00C344B9" w:rsidRDefault="00C344B9" w:rsidP="00C344B9"/>
    <w:p w14:paraId="1854DA43" w14:textId="77777777" w:rsidR="00C344B9" w:rsidRDefault="00C344B9" w:rsidP="00C344B9">
      <w:pPr>
        <w:pStyle w:val="Ttulo4"/>
        <w:numPr>
          <w:ilvl w:val="0"/>
          <w:numId w:val="3"/>
        </w:numPr>
        <w:ind w:firstLine="464"/>
        <w:rPr>
          <w:color w:val="000000" w:themeColor="text1"/>
        </w:rPr>
      </w:pPr>
      <w:r>
        <w:rPr>
          <w:color w:val="000000" w:themeColor="text1"/>
        </w:rPr>
        <w:t>Riesgo por fiscalización</w:t>
      </w:r>
    </w:p>
    <w:p w14:paraId="0A45F6B6" w14:textId="77777777" w:rsidR="00C344B9" w:rsidRDefault="00C344B9" w:rsidP="00C344B9"/>
    <w:p w14:paraId="39166AB3" w14:textId="77777777" w:rsidR="00C344B9" w:rsidRPr="001465F5" w:rsidRDefault="00C344B9" w:rsidP="00C344B9">
      <w:r>
        <w:t xml:space="preserve">Este es el riesgo que podría ocurrir, dada la naturaleza de empresa que es el ICE, y que implica estar sometida a cierta fiscalización por parte de empresas tales como ARESEP, Contraloría General de la República, SUTEL, entre otras entidades, al presentarse posibles discrepancias de criterios que afecten la gestión operativa de la misma, así como impactos financieros por posibles multas y, por ende, los resultados financieros. </w:t>
      </w:r>
    </w:p>
    <w:p w14:paraId="2C0832EA" w14:textId="77777777" w:rsidR="00C344B9" w:rsidRDefault="00C344B9" w:rsidP="00C344B9">
      <w:pPr>
        <w:pStyle w:val="Ttulo4"/>
        <w:numPr>
          <w:ilvl w:val="0"/>
          <w:numId w:val="3"/>
        </w:numPr>
        <w:ind w:firstLine="464"/>
        <w:rPr>
          <w:color w:val="000000" w:themeColor="text1"/>
        </w:rPr>
      </w:pPr>
      <w:r>
        <w:rPr>
          <w:color w:val="000000" w:themeColor="text1"/>
        </w:rPr>
        <w:t>Riesgo de gestión</w:t>
      </w:r>
    </w:p>
    <w:p w14:paraId="51960556" w14:textId="77777777" w:rsidR="00C344B9" w:rsidRDefault="00C344B9" w:rsidP="00C344B9">
      <w:r>
        <w:t xml:space="preserve">Este es el riesgo relacionado con la gestión empresarial del ICE, cuyas decisiones estratégicas, operativas, financieras, y de negocio, podrían tener alguna incidencia negativa en los resultados y la situación financiera de la entidad, lo que podría tener impactos adversos </w:t>
      </w:r>
      <w:r w:rsidR="00B627F4">
        <w:t>para e</w:t>
      </w:r>
      <w:r>
        <w:t xml:space="preserve">l inversionista. </w:t>
      </w:r>
    </w:p>
    <w:p w14:paraId="03579547" w14:textId="77777777" w:rsidR="00C344B9" w:rsidRPr="005F4BE8" w:rsidRDefault="00C344B9" w:rsidP="00A65F5F">
      <w:pPr>
        <w:ind w:right="-25"/>
        <w:rPr>
          <w:color w:val="000000" w:themeColor="text1"/>
        </w:rPr>
      </w:pPr>
    </w:p>
    <w:p w14:paraId="520680E2" w14:textId="77777777" w:rsidR="00900AD7" w:rsidRPr="00900AD7" w:rsidRDefault="00900AD7" w:rsidP="00900AD7">
      <w:pPr>
        <w:pStyle w:val="Ttulo4"/>
        <w:numPr>
          <w:ilvl w:val="0"/>
          <w:numId w:val="3"/>
        </w:numPr>
        <w:ind w:firstLine="464"/>
        <w:rPr>
          <w:color w:val="000000" w:themeColor="text1"/>
        </w:rPr>
      </w:pPr>
      <w:bookmarkStart w:id="849" w:name="_Toc38877403"/>
      <w:r w:rsidRPr="00900AD7">
        <w:rPr>
          <w:color w:val="000000" w:themeColor="text1"/>
        </w:rPr>
        <w:t>Riesgo de continuidad de</w:t>
      </w:r>
      <w:r>
        <w:rPr>
          <w:color w:val="000000" w:themeColor="text1"/>
        </w:rPr>
        <w:t>l</w:t>
      </w:r>
      <w:r w:rsidRPr="00900AD7">
        <w:rPr>
          <w:color w:val="000000" w:themeColor="text1"/>
        </w:rPr>
        <w:t xml:space="preserve"> negocio</w:t>
      </w:r>
      <w:bookmarkEnd w:id="849"/>
      <w:r w:rsidRPr="00900AD7">
        <w:rPr>
          <w:color w:val="000000" w:themeColor="text1"/>
        </w:rPr>
        <w:t xml:space="preserve"> </w:t>
      </w:r>
    </w:p>
    <w:p w14:paraId="5E8B51DD" w14:textId="77777777" w:rsidR="00A65F5F" w:rsidRPr="005F4BE8" w:rsidRDefault="00A65F5F" w:rsidP="00A65F5F">
      <w:pPr>
        <w:ind w:right="-25"/>
        <w:rPr>
          <w:color w:val="000000" w:themeColor="text1"/>
        </w:rPr>
      </w:pPr>
    </w:p>
    <w:p w14:paraId="21D07D7A" w14:textId="77777777" w:rsidR="00362993" w:rsidRDefault="00362993" w:rsidP="00362993">
      <w:pPr>
        <w:pStyle w:val="NormalWeb"/>
        <w:autoSpaceDE w:val="0"/>
        <w:autoSpaceDN w:val="0"/>
        <w:rPr>
          <w:lang w:val="es-MX" w:eastAsia="es-MX"/>
        </w:rPr>
      </w:pPr>
      <w:r>
        <w:rPr>
          <w:lang w:val="es-MX" w:eastAsia="es-MX"/>
        </w:rPr>
        <w:t>Se</w:t>
      </w:r>
      <w:r w:rsidRPr="00046D4E">
        <w:rPr>
          <w:lang w:val="es-MX" w:eastAsia="es-MX"/>
        </w:rPr>
        <w:t xml:space="preserve"> </w:t>
      </w:r>
      <w:r>
        <w:rPr>
          <w:lang w:val="es-MX" w:eastAsia="es-MX"/>
        </w:rPr>
        <w:t xml:space="preserve">refiere a la </w:t>
      </w:r>
      <w:r w:rsidRPr="00046D4E">
        <w:rPr>
          <w:lang w:val="es-MX" w:eastAsia="es-MX"/>
        </w:rPr>
        <w:t xml:space="preserve">posibilidad de que las operaciones del ICE se vean suspendidas parcial o totalmente por eventos internos o externos de alto impacto, como, por ejemplo, desastres naturales, emergencias de salud, manifestaciones sociales, inhabilitación de las instalaciones, suspensión de servicios de tecnologías de información, o cualquier otro factor que afecte a la entidad, a los mercados que atiende y a sus clientes. Es importante señalar, además, que en caso de prolongarse la respuesta ante un escenario que afecte la continuidad normal de las operaciones, podría comprometerse la oportunidad en la atención de las obligaciones con los inversionistas. </w:t>
      </w:r>
    </w:p>
    <w:p w14:paraId="3C3347DD" w14:textId="77777777" w:rsidR="00F92F21" w:rsidRPr="00CC1E51" w:rsidRDefault="00F92F21" w:rsidP="00F92F21">
      <w:pPr>
        <w:pStyle w:val="Ttulo4"/>
        <w:numPr>
          <w:ilvl w:val="0"/>
          <w:numId w:val="3"/>
        </w:numPr>
        <w:ind w:firstLine="464"/>
        <w:rPr>
          <w:color w:val="000000" w:themeColor="text1"/>
        </w:rPr>
      </w:pPr>
      <w:r w:rsidRPr="00CC1E51">
        <w:rPr>
          <w:color w:val="000000" w:themeColor="text1"/>
        </w:rPr>
        <w:t>Riesgo de ciberseguridad</w:t>
      </w:r>
    </w:p>
    <w:p w14:paraId="1658CB12" w14:textId="77777777" w:rsidR="00F92F21" w:rsidRPr="00E5548F" w:rsidRDefault="00F92F21" w:rsidP="00F92F21">
      <w:pPr>
        <w:pStyle w:val="NormalWeb"/>
        <w:autoSpaceDE w:val="0"/>
        <w:autoSpaceDN w:val="0"/>
        <w:rPr>
          <w:lang w:val="es-MX" w:eastAsia="es-MX"/>
        </w:rPr>
      </w:pPr>
      <w:r w:rsidRPr="00E5548F">
        <w:rPr>
          <w:lang w:val="es-MX" w:eastAsia="es-MX"/>
        </w:rPr>
        <w:t>Es la probabilidad de que una amenaza se materialice y la información y datos de la Institución quede expuesta. Las nuevas formas de interactuar con los clientes, uso de la nube, redes sociales, teletrabajo, hace que los negocios se vean expuestos a constantes amenazas cibernéticas, lo cual puede ser contraproducente para la reputación del ICE y afectar la confianza de los clientes.</w:t>
      </w:r>
    </w:p>
    <w:p w14:paraId="566A8444" w14:textId="44DAEF8C" w:rsidR="00A65F5F" w:rsidRPr="005F4BE8" w:rsidRDefault="00A65F5F" w:rsidP="00A65F5F">
      <w:pPr>
        <w:ind w:left="-207" w:right="-25"/>
        <w:rPr>
          <w:color w:val="000000" w:themeColor="text1"/>
        </w:rPr>
      </w:pPr>
    </w:p>
    <w:p w14:paraId="4F610177" w14:textId="790DEDF5" w:rsidR="00A65F5F" w:rsidRPr="005F4BE8" w:rsidRDefault="00A65F5F" w:rsidP="00EF0D70">
      <w:pPr>
        <w:pStyle w:val="Ttulo3"/>
        <w:numPr>
          <w:ilvl w:val="2"/>
          <w:numId w:val="58"/>
        </w:numPr>
        <w:rPr>
          <w:color w:val="000000" w:themeColor="text1"/>
        </w:rPr>
      </w:pPr>
      <w:bookmarkStart w:id="850" w:name="_Toc304737172"/>
      <w:bookmarkStart w:id="851" w:name="_Toc343676001"/>
      <w:bookmarkStart w:id="852" w:name="_Toc358619364"/>
      <w:bookmarkStart w:id="853" w:name="_Toc358620629"/>
      <w:bookmarkStart w:id="854" w:name="_Toc358621836"/>
      <w:bookmarkStart w:id="855" w:name="_Toc358622813"/>
      <w:bookmarkStart w:id="856" w:name="_Toc421264450"/>
      <w:bookmarkStart w:id="857" w:name="_Toc26357122"/>
      <w:bookmarkStart w:id="858" w:name="_Toc138664911"/>
      <w:r w:rsidRPr="005F4BE8">
        <w:rPr>
          <w:color w:val="000000" w:themeColor="text1"/>
        </w:rPr>
        <w:t>Riesgos de la Industria</w:t>
      </w:r>
      <w:bookmarkEnd w:id="850"/>
      <w:bookmarkEnd w:id="851"/>
      <w:bookmarkEnd w:id="852"/>
      <w:bookmarkEnd w:id="853"/>
      <w:bookmarkEnd w:id="854"/>
      <w:bookmarkEnd w:id="855"/>
      <w:bookmarkEnd w:id="856"/>
      <w:bookmarkEnd w:id="857"/>
      <w:r w:rsidR="00EF2A17">
        <w:rPr>
          <w:color w:val="000000" w:themeColor="text1"/>
        </w:rPr>
        <w:t xml:space="preserve"> o de los negocios.</w:t>
      </w:r>
      <w:bookmarkEnd w:id="858"/>
    </w:p>
    <w:p w14:paraId="57820720" w14:textId="77777777" w:rsidR="00A65F5F" w:rsidRPr="005F4BE8" w:rsidRDefault="00A65F5F" w:rsidP="00A65F5F">
      <w:pPr>
        <w:ind w:left="-540" w:right="-25"/>
        <w:rPr>
          <w:color w:val="000000" w:themeColor="text1"/>
        </w:rPr>
      </w:pPr>
    </w:p>
    <w:p w14:paraId="325828BF" w14:textId="77777777" w:rsidR="00A65F5F" w:rsidRPr="005F4BE8" w:rsidRDefault="00A65F5F" w:rsidP="00A65F5F">
      <w:pPr>
        <w:ind w:left="-540" w:right="-25"/>
        <w:rPr>
          <w:color w:val="000000" w:themeColor="text1"/>
        </w:rPr>
      </w:pPr>
      <w:r w:rsidRPr="005F4BE8">
        <w:rPr>
          <w:color w:val="000000" w:themeColor="text1"/>
        </w:rPr>
        <w:t>Los riesgos de la industria son originados por factores externos a la administración del Grupo, éstos pueden llegar a erosionar la solvencia de la empresa y por consiguiente afectar la capacidad de pago a los inversionistas.</w:t>
      </w:r>
    </w:p>
    <w:p w14:paraId="7B200438" w14:textId="77777777" w:rsidR="00A65F5F" w:rsidRPr="005F4BE8" w:rsidRDefault="00A65F5F" w:rsidP="00A65F5F">
      <w:pPr>
        <w:ind w:left="-540" w:right="-25"/>
        <w:rPr>
          <w:color w:val="000000" w:themeColor="text1"/>
        </w:rPr>
      </w:pPr>
    </w:p>
    <w:p w14:paraId="164EDA92" w14:textId="77777777" w:rsidR="00A65F5F" w:rsidRPr="005F4BE8" w:rsidRDefault="00A65F5F" w:rsidP="00A65F5F">
      <w:pPr>
        <w:pStyle w:val="Ttulo4"/>
        <w:numPr>
          <w:ilvl w:val="0"/>
          <w:numId w:val="4"/>
        </w:numPr>
        <w:tabs>
          <w:tab w:val="left" w:pos="-142"/>
        </w:tabs>
        <w:ind w:firstLine="491"/>
        <w:rPr>
          <w:color w:val="000000" w:themeColor="text1"/>
        </w:rPr>
      </w:pPr>
      <w:r w:rsidRPr="005F4BE8">
        <w:rPr>
          <w:color w:val="000000" w:themeColor="text1"/>
        </w:rPr>
        <w:t>Riesgo del marco regulatorio de la industria</w:t>
      </w:r>
    </w:p>
    <w:p w14:paraId="6A23E130" w14:textId="77777777" w:rsidR="00A65F5F" w:rsidRPr="005F4BE8" w:rsidRDefault="00A65F5F" w:rsidP="00A65F5F">
      <w:pPr>
        <w:ind w:right="-25"/>
        <w:rPr>
          <w:color w:val="000000" w:themeColor="text1"/>
        </w:rPr>
      </w:pPr>
      <w:r w:rsidRPr="005F4BE8">
        <w:rPr>
          <w:color w:val="000000" w:themeColor="text1"/>
        </w:rPr>
        <w:t>Las áreas de negocio en que opera el ICE (telecomunicaciones y electricidad) se encuentran reguladas por Ley.  En el caso de los servicios eléctricos</w:t>
      </w:r>
      <w:r>
        <w:rPr>
          <w:color w:val="000000" w:themeColor="text1"/>
        </w:rPr>
        <w:t>,</w:t>
      </w:r>
      <w:r w:rsidRPr="005F4BE8">
        <w:rPr>
          <w:color w:val="000000" w:themeColor="text1"/>
        </w:rPr>
        <w:t xml:space="preserve"> al tratarse de un régimen monopolístico</w:t>
      </w:r>
      <w:r>
        <w:rPr>
          <w:color w:val="000000" w:themeColor="text1"/>
        </w:rPr>
        <w:t>,</w:t>
      </w:r>
      <w:r w:rsidRPr="005F4BE8">
        <w:rPr>
          <w:color w:val="000000" w:themeColor="text1"/>
        </w:rPr>
        <w:t xml:space="preserve"> existe una alta intervención regulatoria en materia de fijación de tarifas.  En este caso, existe la posibilidad que la Autoridad Reguladora de los Servicios Públicos (ARESEP) autorice aumentos en las tarifas menores a los solicitados por el ICE, generando un descalce respecto a los costos de la entidad.   </w:t>
      </w:r>
    </w:p>
    <w:p w14:paraId="7D82D995" w14:textId="77777777" w:rsidR="00A65F5F" w:rsidRPr="005F4BE8" w:rsidRDefault="00A65F5F" w:rsidP="00A65F5F">
      <w:pPr>
        <w:ind w:left="-567" w:right="-25"/>
        <w:rPr>
          <w:color w:val="000000" w:themeColor="text1"/>
        </w:rPr>
      </w:pPr>
    </w:p>
    <w:p w14:paraId="1FE21F98" w14:textId="77777777" w:rsidR="00A65F5F" w:rsidRPr="005F4BE8" w:rsidRDefault="00A65F5F" w:rsidP="00A65F5F">
      <w:pPr>
        <w:ind w:right="-25"/>
        <w:rPr>
          <w:color w:val="000000" w:themeColor="text1"/>
        </w:rPr>
      </w:pPr>
      <w:r w:rsidRPr="005F4BE8">
        <w:rPr>
          <w:color w:val="000000" w:themeColor="text1"/>
        </w:rPr>
        <w:t>Para el caso de los servicios de telecomunicaciones que actualmente se prestan bajo un mercado de libre competencia, la situación es muy diferente, siendo que en u</w:t>
      </w:r>
      <w:r w:rsidR="00C344B9">
        <w:rPr>
          <w:color w:val="000000" w:themeColor="text1"/>
        </w:rPr>
        <w:t xml:space="preserve">n inicio el ente regulador fijó </w:t>
      </w:r>
      <w:r w:rsidRPr="005F4BE8">
        <w:rPr>
          <w:color w:val="000000" w:themeColor="text1"/>
        </w:rPr>
        <w:t xml:space="preserve">las tarifas de los servicios de telecomunicaciones disponibles al público, conforme a una metodología de topes de precios o alguna otra metodología que promueva la competencia.  </w:t>
      </w:r>
      <w:r>
        <w:rPr>
          <w:color w:val="000000" w:themeColor="text1"/>
        </w:rPr>
        <w:t>Adicionalmente, la</w:t>
      </w:r>
      <w:r w:rsidRPr="005F4BE8">
        <w:rPr>
          <w:color w:val="000000" w:themeColor="text1"/>
        </w:rPr>
        <w:t xml:space="preserve"> competencia efectiva </w:t>
      </w:r>
      <w:r>
        <w:rPr>
          <w:color w:val="000000" w:themeColor="text1"/>
        </w:rPr>
        <w:t xml:space="preserve">hace que </w:t>
      </w:r>
      <w:r w:rsidRPr="005F4BE8">
        <w:rPr>
          <w:color w:val="000000" w:themeColor="text1"/>
        </w:rPr>
        <w:t xml:space="preserve">los proveedores y operadores del servicio </w:t>
      </w:r>
      <w:r w:rsidR="00B944DA">
        <w:rPr>
          <w:color w:val="000000" w:themeColor="text1"/>
        </w:rPr>
        <w:t xml:space="preserve">puedan </w:t>
      </w:r>
      <w:r w:rsidRPr="005F4BE8">
        <w:rPr>
          <w:color w:val="000000" w:themeColor="text1"/>
        </w:rPr>
        <w:t>establecer sus precios según las reglas del mercado y la competencia.</w:t>
      </w:r>
    </w:p>
    <w:p w14:paraId="40E2C470" w14:textId="77777777" w:rsidR="00A65F5F" w:rsidRPr="005F4BE8" w:rsidRDefault="00A65F5F" w:rsidP="00A65F5F">
      <w:pPr>
        <w:ind w:left="-567" w:right="-25"/>
        <w:rPr>
          <w:color w:val="000000" w:themeColor="text1"/>
        </w:rPr>
      </w:pPr>
    </w:p>
    <w:p w14:paraId="5696DBB2" w14:textId="77777777" w:rsidR="00A65F5F" w:rsidRPr="005F4BE8" w:rsidRDefault="00A65F5F" w:rsidP="00A65F5F">
      <w:pPr>
        <w:ind w:right="-25"/>
        <w:rPr>
          <w:color w:val="000000" w:themeColor="text1"/>
        </w:rPr>
      </w:pPr>
      <w:r w:rsidRPr="005F4BE8">
        <w:rPr>
          <w:color w:val="000000" w:themeColor="text1"/>
        </w:rPr>
        <w:t>Cualquier cambio en la regulación establecida por estas instituciones, o en la legislación costarricense, pueden afectar, directa o indirectamente</w:t>
      </w:r>
      <w:r>
        <w:rPr>
          <w:color w:val="000000" w:themeColor="text1"/>
        </w:rPr>
        <w:t xml:space="preserve">, </w:t>
      </w:r>
      <w:r w:rsidRPr="005F4BE8">
        <w:rPr>
          <w:color w:val="000000" w:themeColor="text1"/>
        </w:rPr>
        <w:t xml:space="preserve">el resultado de las operaciones, la generación de utilidades y por ende la rentabilidad del ICE, así como la capacidad de expansión de sus sectores. </w:t>
      </w:r>
    </w:p>
    <w:p w14:paraId="747721CA" w14:textId="77777777" w:rsidR="00A65F5F" w:rsidRPr="005F4BE8" w:rsidRDefault="00A65F5F" w:rsidP="00A65F5F">
      <w:pPr>
        <w:ind w:left="-142" w:right="-25"/>
        <w:rPr>
          <w:color w:val="000000" w:themeColor="text1"/>
        </w:rPr>
      </w:pPr>
    </w:p>
    <w:p w14:paraId="19583254" w14:textId="77777777" w:rsidR="00A65F5F" w:rsidRDefault="00A65F5F" w:rsidP="00A65F5F">
      <w:pPr>
        <w:pStyle w:val="Ttulo4"/>
        <w:numPr>
          <w:ilvl w:val="0"/>
          <w:numId w:val="12"/>
        </w:numPr>
        <w:tabs>
          <w:tab w:val="left" w:pos="-142"/>
        </w:tabs>
        <w:ind w:firstLine="491"/>
        <w:rPr>
          <w:color w:val="000000" w:themeColor="text1"/>
        </w:rPr>
      </w:pPr>
      <w:r w:rsidRPr="005F4BE8">
        <w:rPr>
          <w:color w:val="000000" w:themeColor="text1"/>
        </w:rPr>
        <w:t>Riesgo de Competencia</w:t>
      </w:r>
    </w:p>
    <w:p w14:paraId="678F8260" w14:textId="77777777" w:rsidR="00A65F5F" w:rsidRPr="00EE5E32" w:rsidRDefault="00A65F5F" w:rsidP="00A65F5F">
      <w:pPr>
        <w:ind w:right="-25"/>
        <w:rPr>
          <w:color w:val="000000" w:themeColor="text1"/>
        </w:rPr>
      </w:pPr>
      <w:r w:rsidRPr="00EE5E32">
        <w:rPr>
          <w:color w:val="000000" w:themeColor="text1"/>
        </w:rPr>
        <w:t>Es la probabilidad de pérdidas derivadas directa o indirectamente de la actividad de competidores, especialmente si éstos tienen la capacidad de controlar o impactar significativamente el nivel de precios de los bienes o servicios que ofrecen y que de ello surjan perjuicios para el mercado o un</w:t>
      </w:r>
      <w:r>
        <w:rPr>
          <w:color w:val="000000" w:themeColor="text1"/>
        </w:rPr>
        <w:t xml:space="preserve">a compañía en particular. </w:t>
      </w:r>
    </w:p>
    <w:p w14:paraId="0789901E" w14:textId="77777777" w:rsidR="00A65F5F" w:rsidRDefault="00A65F5F" w:rsidP="00A65F5F">
      <w:pPr>
        <w:pStyle w:val="Prrafodelista"/>
        <w:ind w:left="-207" w:right="-25"/>
        <w:rPr>
          <w:color w:val="000000" w:themeColor="text1"/>
        </w:rPr>
      </w:pPr>
    </w:p>
    <w:p w14:paraId="436A9050" w14:textId="77777777" w:rsidR="00C344B9" w:rsidRPr="00EE5E32" w:rsidRDefault="00C344B9" w:rsidP="00C344B9">
      <w:pPr>
        <w:ind w:right="-25"/>
        <w:rPr>
          <w:color w:val="000000" w:themeColor="text1"/>
        </w:rPr>
      </w:pPr>
      <w:r>
        <w:rPr>
          <w:color w:val="000000" w:themeColor="text1"/>
        </w:rPr>
        <w:t xml:space="preserve">También referido a la percepción de los clientes con respecto a la calidad de los servicios brindados que podría generar un traslado de negocios o clientes hacia empresas competidoras. </w:t>
      </w:r>
    </w:p>
    <w:p w14:paraId="6A2F167D" w14:textId="77777777" w:rsidR="00C344B9" w:rsidRPr="00EE5E32" w:rsidRDefault="00C344B9" w:rsidP="00A65F5F">
      <w:pPr>
        <w:pStyle w:val="Prrafodelista"/>
        <w:ind w:left="-207" w:right="-25"/>
        <w:rPr>
          <w:color w:val="000000" w:themeColor="text1"/>
        </w:rPr>
      </w:pPr>
    </w:p>
    <w:p w14:paraId="2B7EB9EA" w14:textId="77777777" w:rsidR="00A65F5F" w:rsidRDefault="00A65F5F" w:rsidP="00A65F5F">
      <w:pPr>
        <w:pStyle w:val="Ttulo4"/>
        <w:numPr>
          <w:ilvl w:val="0"/>
          <w:numId w:val="12"/>
        </w:numPr>
        <w:tabs>
          <w:tab w:val="left" w:pos="-142"/>
        </w:tabs>
        <w:ind w:firstLine="491"/>
        <w:rPr>
          <w:color w:val="000000" w:themeColor="text1"/>
        </w:rPr>
      </w:pPr>
      <w:r w:rsidRPr="005F4BE8">
        <w:rPr>
          <w:color w:val="000000" w:themeColor="text1"/>
        </w:rPr>
        <w:t>Riesgo por cambios en patrones de consumo de clientes</w:t>
      </w:r>
    </w:p>
    <w:p w14:paraId="37AF0D31" w14:textId="77777777" w:rsidR="00A65F5F" w:rsidRPr="005F4BE8" w:rsidRDefault="00A65F5F" w:rsidP="00A65F5F">
      <w:pPr>
        <w:ind w:right="-25"/>
        <w:rPr>
          <w:color w:val="000000" w:themeColor="text1"/>
        </w:rPr>
      </w:pPr>
      <w:r w:rsidRPr="005F4BE8">
        <w:rPr>
          <w:color w:val="000000" w:themeColor="text1"/>
        </w:rPr>
        <w:t>Es la probabilidad de pérdidas derivadas de variaciones en el perfil o patrón de consumo de los clientes.   Esto puede ocurrir como resultado de cambios tecnológicos, persistencia de condiciones adversas en el merc</w:t>
      </w:r>
      <w:r>
        <w:rPr>
          <w:color w:val="000000" w:themeColor="text1"/>
        </w:rPr>
        <w:t>ado, incrementos tarifarios</w:t>
      </w:r>
      <w:r w:rsidRPr="005F4BE8">
        <w:rPr>
          <w:color w:val="000000" w:themeColor="text1"/>
        </w:rPr>
        <w:t xml:space="preserve">. </w:t>
      </w:r>
    </w:p>
    <w:p w14:paraId="5199D9B5" w14:textId="77777777" w:rsidR="00A65F5F" w:rsidRPr="005F4BE8" w:rsidRDefault="00A65F5F" w:rsidP="00A65F5F">
      <w:pPr>
        <w:ind w:right="-25"/>
        <w:rPr>
          <w:color w:val="000000" w:themeColor="text1"/>
        </w:rPr>
      </w:pPr>
    </w:p>
    <w:p w14:paraId="1641C47B" w14:textId="77777777" w:rsidR="00A65F5F" w:rsidRPr="005F4BE8" w:rsidRDefault="00A65F5F" w:rsidP="00A65F5F">
      <w:pPr>
        <w:ind w:right="-25"/>
        <w:rPr>
          <w:color w:val="000000" w:themeColor="text1"/>
        </w:rPr>
      </w:pPr>
      <w:r w:rsidRPr="005F4BE8">
        <w:rPr>
          <w:color w:val="000000" w:themeColor="text1"/>
        </w:rPr>
        <w:t xml:space="preserve">Una disminución en el volumen de consumo como consecuencia de una economía en recesión o una migración de clientes hacia la competencia tendría efectos negativos en el nivel de ingresos del Sector Telecomunicaciones y por ende en su excedentes; el Sector Electricidad enfrentaría una situación diferente, por cuanto existe un punto hasta el cual la disminución en la demanda implicaría una reducción en la generación mediante plantas térmicas, cuyo costo es el más elevado entre las distintas fuentes de generación.  </w:t>
      </w:r>
    </w:p>
    <w:p w14:paraId="594C22FA" w14:textId="77777777" w:rsidR="00A65F5F" w:rsidRPr="005F4BE8" w:rsidRDefault="00A65F5F" w:rsidP="00A65F5F">
      <w:pPr>
        <w:pStyle w:val="Ttulo4"/>
        <w:numPr>
          <w:ilvl w:val="0"/>
          <w:numId w:val="12"/>
        </w:numPr>
        <w:tabs>
          <w:tab w:val="left" w:pos="-142"/>
        </w:tabs>
        <w:ind w:firstLine="491"/>
        <w:rPr>
          <w:color w:val="000000" w:themeColor="text1"/>
        </w:rPr>
      </w:pPr>
      <w:r w:rsidRPr="005F4BE8">
        <w:rPr>
          <w:color w:val="000000" w:themeColor="text1"/>
        </w:rPr>
        <w:t>Riesgo de cambios en la regulación ambiental</w:t>
      </w:r>
    </w:p>
    <w:p w14:paraId="58E6B958" w14:textId="77777777" w:rsidR="00A65F5F" w:rsidRDefault="00A65F5F" w:rsidP="00A65F5F">
      <w:pPr>
        <w:ind w:right="-25"/>
        <w:rPr>
          <w:color w:val="000000" w:themeColor="text1"/>
        </w:rPr>
      </w:pPr>
      <w:r w:rsidRPr="005F4BE8">
        <w:rPr>
          <w:color w:val="000000" w:themeColor="text1"/>
        </w:rPr>
        <w:t xml:space="preserve">El ICE, al igual que cualquier otra empresa que desee brindar servicios de electricidad y telecomunicaciones, está sujeto a regulaciones ambientales. </w:t>
      </w:r>
    </w:p>
    <w:p w14:paraId="26614DB8" w14:textId="77777777" w:rsidR="00A65F5F" w:rsidRDefault="00A65F5F" w:rsidP="00A65F5F">
      <w:pPr>
        <w:ind w:right="-25"/>
        <w:rPr>
          <w:color w:val="000000" w:themeColor="text1"/>
        </w:rPr>
      </w:pPr>
    </w:p>
    <w:p w14:paraId="7DEF6322" w14:textId="77777777" w:rsidR="00C344B9" w:rsidRPr="00507DBF" w:rsidRDefault="00C344B9" w:rsidP="00C344B9">
      <w:pPr>
        <w:ind w:right="-25"/>
        <w:rPr>
          <w:color w:val="000000" w:themeColor="text1"/>
        </w:rPr>
      </w:pPr>
      <w:r w:rsidRPr="00507DBF">
        <w:rPr>
          <w:color w:val="000000" w:themeColor="text1"/>
        </w:rPr>
        <w:t>Cambios en la regulación ambiental</w:t>
      </w:r>
      <w:r>
        <w:rPr>
          <w:color w:val="000000" w:themeColor="text1"/>
        </w:rPr>
        <w:t xml:space="preserve">, o compromisos del país con la des carbonización de la economía, </w:t>
      </w:r>
      <w:r w:rsidRPr="00507DBF">
        <w:rPr>
          <w:color w:val="000000" w:themeColor="text1"/>
        </w:rPr>
        <w:t>podría generar mayores costos, así como retrasos en la implementación de los proyectos (y por ende en sus ingresos), lo cual podría generar menores rentabilidades y liquidez para la entidad.</w:t>
      </w:r>
    </w:p>
    <w:p w14:paraId="19BC0860" w14:textId="77777777" w:rsidR="00B5241B" w:rsidRDefault="00B5241B" w:rsidP="00B5241B">
      <w:pPr>
        <w:pStyle w:val="Ttulo3"/>
        <w:numPr>
          <w:ilvl w:val="2"/>
          <w:numId w:val="58"/>
        </w:numPr>
        <w:rPr>
          <w:color w:val="000000" w:themeColor="text1"/>
        </w:rPr>
      </w:pPr>
      <w:bookmarkStart w:id="859" w:name="_Toc138664912"/>
      <w:r>
        <w:rPr>
          <w:color w:val="000000" w:themeColor="text1"/>
        </w:rPr>
        <w:t>Riesgos del ambiente, cambios climáticos.</w:t>
      </w:r>
      <w:bookmarkEnd w:id="859"/>
      <w:r>
        <w:rPr>
          <w:color w:val="000000" w:themeColor="text1"/>
        </w:rPr>
        <w:t xml:space="preserve"> </w:t>
      </w:r>
    </w:p>
    <w:p w14:paraId="181485FF" w14:textId="77777777" w:rsidR="00A65F5F" w:rsidRPr="005F4BE8" w:rsidRDefault="00A65F5F" w:rsidP="00BA08EC">
      <w:pPr>
        <w:pStyle w:val="Ttulo4"/>
        <w:numPr>
          <w:ilvl w:val="0"/>
          <w:numId w:val="86"/>
        </w:numPr>
        <w:tabs>
          <w:tab w:val="left" w:pos="-142"/>
        </w:tabs>
        <w:rPr>
          <w:color w:val="000000" w:themeColor="text1"/>
        </w:rPr>
      </w:pPr>
      <w:r w:rsidRPr="005F4BE8">
        <w:rPr>
          <w:color w:val="000000" w:themeColor="text1"/>
        </w:rPr>
        <w:t>Riesgo hidrológico</w:t>
      </w:r>
    </w:p>
    <w:p w14:paraId="6665491F" w14:textId="77777777" w:rsidR="00A65F5F" w:rsidRPr="005F4BE8" w:rsidRDefault="00A65F5F" w:rsidP="00A65F5F">
      <w:pPr>
        <w:ind w:right="-25"/>
        <w:rPr>
          <w:color w:val="000000" w:themeColor="text1"/>
        </w:rPr>
      </w:pPr>
      <w:r w:rsidRPr="005F4BE8">
        <w:rPr>
          <w:color w:val="000000" w:themeColor="text1"/>
        </w:rPr>
        <w:t>La capacidad de generación eléctrica del ICE está estrechamente vinculada al recurso hídrico.  Por tanto, de presentarse la eventualidad de un período prolongado de sequía, o cualquier otro factor que disminuya los niveles de embalse de las diferentes plantas hidroeléctricas; se reduciría la capacidad del ICE para atender la demanda  eléctrica del país o tendría que recurrir a fuentes de generación de mayor costo, y por ende, afectaría su nivel de ingresos, resultado operativo, situación financiera y rentabilidad</w:t>
      </w:r>
    </w:p>
    <w:p w14:paraId="3106B933" w14:textId="77777777" w:rsidR="00A65F5F" w:rsidRPr="00BD5BEF" w:rsidRDefault="00A65F5F" w:rsidP="00BA08EC">
      <w:pPr>
        <w:pStyle w:val="Ttulo4"/>
        <w:numPr>
          <w:ilvl w:val="0"/>
          <w:numId w:val="86"/>
        </w:numPr>
        <w:tabs>
          <w:tab w:val="left" w:pos="-142"/>
        </w:tabs>
        <w:rPr>
          <w:color w:val="000000" w:themeColor="text1"/>
        </w:rPr>
      </w:pPr>
      <w:r w:rsidRPr="00BD5BEF">
        <w:rPr>
          <w:color w:val="000000" w:themeColor="text1"/>
        </w:rPr>
        <w:t>Riesgo por desastres naturales</w:t>
      </w:r>
    </w:p>
    <w:p w14:paraId="69FBA115" w14:textId="77777777" w:rsidR="00A65F5F" w:rsidRPr="005F4BE8" w:rsidRDefault="00A65F5F" w:rsidP="00A65F5F">
      <w:pPr>
        <w:ind w:right="-25"/>
        <w:rPr>
          <w:color w:val="000000" w:themeColor="text1"/>
        </w:rPr>
      </w:pPr>
      <w:r w:rsidRPr="005F4BE8">
        <w:rPr>
          <w:color w:val="000000" w:themeColor="text1"/>
        </w:rPr>
        <w:t xml:space="preserve">El ICE se enfrenta al riesgo de que desastres naturales puedan afectar su capacidad de producción y eventualmente poder atender de manera adecuada la demanda por sus servicios. </w:t>
      </w:r>
    </w:p>
    <w:p w14:paraId="6DE5DA5B" w14:textId="77777777" w:rsidR="00A65F5F" w:rsidRPr="005F4BE8" w:rsidRDefault="00A65F5F" w:rsidP="00EF0D70">
      <w:pPr>
        <w:pStyle w:val="Ttulo3"/>
        <w:numPr>
          <w:ilvl w:val="2"/>
          <w:numId w:val="58"/>
        </w:numPr>
        <w:rPr>
          <w:color w:val="000000" w:themeColor="text1"/>
        </w:rPr>
      </w:pPr>
      <w:bookmarkStart w:id="860" w:name="_Toc304737173"/>
      <w:bookmarkStart w:id="861" w:name="_Toc343676002"/>
      <w:bookmarkStart w:id="862" w:name="_Toc358619365"/>
      <w:bookmarkStart w:id="863" w:name="_Toc358620630"/>
      <w:bookmarkStart w:id="864" w:name="_Toc358621837"/>
      <w:bookmarkStart w:id="865" w:name="_Toc358622814"/>
      <w:bookmarkStart w:id="866" w:name="_Toc421264451"/>
      <w:bookmarkStart w:id="867" w:name="_Toc26357123"/>
      <w:bookmarkStart w:id="868" w:name="_Toc138664913"/>
      <w:r w:rsidRPr="005F4BE8">
        <w:rPr>
          <w:color w:val="000000" w:themeColor="text1"/>
        </w:rPr>
        <w:t>Riesgos del entorno</w:t>
      </w:r>
      <w:bookmarkEnd w:id="860"/>
      <w:bookmarkEnd w:id="861"/>
      <w:bookmarkEnd w:id="862"/>
      <w:bookmarkEnd w:id="863"/>
      <w:bookmarkEnd w:id="864"/>
      <w:bookmarkEnd w:id="865"/>
      <w:bookmarkEnd w:id="866"/>
      <w:bookmarkEnd w:id="867"/>
      <w:bookmarkEnd w:id="868"/>
    </w:p>
    <w:p w14:paraId="25F6BB0A" w14:textId="77777777" w:rsidR="00A65F5F" w:rsidRPr="005F4BE8" w:rsidRDefault="00A65F5F" w:rsidP="00A65F5F">
      <w:pPr>
        <w:ind w:left="-207" w:right="-25"/>
        <w:rPr>
          <w:color w:val="000000" w:themeColor="text1"/>
        </w:rPr>
      </w:pPr>
      <w:r w:rsidRPr="005F4BE8">
        <w:rPr>
          <w:color w:val="000000" w:themeColor="text1"/>
        </w:rPr>
        <w:t xml:space="preserve">Este punto considera aquellos riesgos del entorno que afectan en general a todas las empresas en una región económica o país.  Estos riesgos pueden llegar a disminuir significativamente la solvencia de la empresa y por consiguiente afectar la capacidad de pago a sus inversionistas. </w:t>
      </w:r>
    </w:p>
    <w:p w14:paraId="07CF8F9F" w14:textId="77777777" w:rsidR="00A65F5F" w:rsidRPr="005F4BE8" w:rsidRDefault="00A65F5F" w:rsidP="00A65F5F">
      <w:pPr>
        <w:pStyle w:val="Ttulo4"/>
        <w:numPr>
          <w:ilvl w:val="0"/>
          <w:numId w:val="5"/>
        </w:numPr>
        <w:tabs>
          <w:tab w:val="left" w:pos="-142"/>
        </w:tabs>
        <w:ind w:firstLine="491"/>
        <w:rPr>
          <w:color w:val="000000" w:themeColor="text1"/>
        </w:rPr>
      </w:pPr>
      <w:r w:rsidRPr="005F4BE8">
        <w:rPr>
          <w:color w:val="000000" w:themeColor="text1"/>
        </w:rPr>
        <w:t>Riesgo macroeconómico</w:t>
      </w:r>
    </w:p>
    <w:p w14:paraId="40C580D5" w14:textId="1A9148C3" w:rsidR="00A65F5F" w:rsidRPr="00C77C4B" w:rsidRDefault="00A65F5F" w:rsidP="00A65F5F">
      <w:pPr>
        <w:ind w:right="-25"/>
        <w:rPr>
          <w:color w:val="000000" w:themeColor="text1"/>
        </w:rPr>
      </w:pPr>
      <w:r w:rsidRPr="005F4BE8">
        <w:rPr>
          <w:color w:val="000000" w:themeColor="text1"/>
        </w:rPr>
        <w:t>Riesgos que no son particulares al ICE ni que pueden ser controlados por la entidad, sino que obedece a factores externos que afectan a todas las empresas en la misma actividad económica en el entorno costarricense, e inclusive a empresas en otras industrias. El riesgo macroeconómico se refiere a la volatilidad del estado general de la economía del país, derivado de fluctuaciones de diversos factores o variables, sin embargo</w:t>
      </w:r>
      <w:r w:rsidR="00FE3A9C">
        <w:rPr>
          <w:color w:val="000000" w:themeColor="text1"/>
        </w:rPr>
        <w:t>,</w:t>
      </w:r>
      <w:r w:rsidRPr="005F4BE8">
        <w:rPr>
          <w:color w:val="000000" w:themeColor="text1"/>
        </w:rPr>
        <w:t xml:space="preserve"> las implicaciones que pueden tener estos riesgos no serán de la misma magnitud o en la misma dirección en todas ellas. Los principales activos y negocios del ICE están ubicados en Costa Rica, por lo tanto</w:t>
      </w:r>
      <w:r w:rsidR="00D90A0C">
        <w:rPr>
          <w:color w:val="000000" w:themeColor="text1"/>
        </w:rPr>
        <w:t>,</w:t>
      </w:r>
      <w:r w:rsidRPr="005F4BE8">
        <w:rPr>
          <w:color w:val="000000" w:themeColor="text1"/>
        </w:rPr>
        <w:t xml:space="preserve"> los ingresos y eventualmente las utilidades de la empresa estarán ligadas al comportamiento de la economía costarricense.</w:t>
      </w:r>
    </w:p>
    <w:p w14:paraId="73EC3C73" w14:textId="77777777" w:rsidR="00A65F5F" w:rsidRPr="00BF211A" w:rsidRDefault="00A65F5F" w:rsidP="00A65F5F">
      <w:pPr>
        <w:ind w:right="-25"/>
      </w:pPr>
    </w:p>
    <w:p w14:paraId="48D7F626" w14:textId="3DA0D399" w:rsidR="00A65F5F" w:rsidRDefault="00A65F5F" w:rsidP="00A65F5F">
      <w:pPr>
        <w:ind w:right="-25"/>
      </w:pPr>
      <w:r w:rsidRPr="00507DBF">
        <w:t>Las principales variables macroeconómicas del país son revisadas dos veces por año por el Banco Central de Costa Rica, institución que estima cuáles serán los resultados de dichas variables para el año en curso y el siguiente. A continuación</w:t>
      </w:r>
      <w:r w:rsidR="00D90A0C">
        <w:t>,</w:t>
      </w:r>
      <w:r w:rsidRPr="00507DBF">
        <w:t xml:space="preserve"> se detallan las últimas proyecciones realizadas por el BCCR</w:t>
      </w:r>
      <w:r w:rsidR="0015294B">
        <w:t xml:space="preserve"> e incluidas en el “Informe de Política Monetaria” de abril de 202</w:t>
      </w:r>
      <w:r w:rsidR="00A31FE5">
        <w:t>3</w:t>
      </w:r>
      <w:r w:rsidRPr="00507DBF">
        <w:t>:</w:t>
      </w:r>
    </w:p>
    <w:tbl>
      <w:tblPr>
        <w:tblW w:w="14540" w:type="dxa"/>
        <w:tblInd w:w="-634" w:type="dxa"/>
        <w:tblCellMar>
          <w:left w:w="70" w:type="dxa"/>
          <w:right w:w="70" w:type="dxa"/>
        </w:tblCellMar>
        <w:tblLook w:val="04A0" w:firstRow="1" w:lastRow="0" w:firstColumn="1" w:lastColumn="0" w:noHBand="0" w:noVBand="1"/>
      </w:tblPr>
      <w:tblGrid>
        <w:gridCol w:w="8180"/>
        <w:gridCol w:w="1060"/>
        <w:gridCol w:w="1269"/>
        <w:gridCol w:w="1371"/>
        <w:gridCol w:w="220"/>
        <w:gridCol w:w="1173"/>
        <w:gridCol w:w="1267"/>
      </w:tblGrid>
      <w:tr w:rsidR="000B66FF" w:rsidRPr="000B66FF" w14:paraId="23265FE6" w14:textId="77777777" w:rsidTr="00380BF1">
        <w:trPr>
          <w:trHeight w:val="300"/>
        </w:trPr>
        <w:tc>
          <w:tcPr>
            <w:tcW w:w="8180" w:type="dxa"/>
            <w:tcBorders>
              <w:top w:val="nil"/>
              <w:left w:val="nil"/>
              <w:bottom w:val="nil"/>
              <w:right w:val="nil"/>
            </w:tcBorders>
            <w:shd w:val="clear" w:color="auto" w:fill="auto"/>
            <w:noWrap/>
            <w:vAlign w:val="bottom"/>
          </w:tcPr>
          <w:p w14:paraId="69AE8141" w14:textId="439257EE" w:rsidR="000B66FF" w:rsidRPr="000B66FF" w:rsidRDefault="004945C3" w:rsidP="00380BF1">
            <w:pPr>
              <w:ind w:right="0"/>
              <w:jc w:val="center"/>
              <w:rPr>
                <w:sz w:val="20"/>
                <w:szCs w:val="20"/>
                <w:lang w:val="es-CR" w:eastAsia="es-CR"/>
              </w:rPr>
            </w:pPr>
            <w:r w:rsidRPr="008D15D6">
              <w:rPr>
                <w:rFonts w:ascii="Arial" w:hAnsi="Arial" w:cs="Arial"/>
                <w:noProof/>
              </w:rPr>
              <w:drawing>
                <wp:inline distT="0" distB="0" distL="0" distR="0" wp14:anchorId="60441795" wp14:editId="2F498BF7">
                  <wp:extent cx="5105842" cy="2933954"/>
                  <wp:effectExtent l="0" t="0" r="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24"/>
                          <a:stretch>
                            <a:fillRect/>
                          </a:stretch>
                        </pic:blipFill>
                        <pic:spPr>
                          <a:xfrm>
                            <a:off x="0" y="0"/>
                            <a:ext cx="5105842" cy="2933954"/>
                          </a:xfrm>
                          <a:prstGeom prst="rect">
                            <a:avLst/>
                          </a:prstGeom>
                        </pic:spPr>
                      </pic:pic>
                    </a:graphicData>
                  </a:graphic>
                </wp:inline>
              </w:drawing>
            </w:r>
          </w:p>
        </w:tc>
        <w:tc>
          <w:tcPr>
            <w:tcW w:w="1060" w:type="dxa"/>
            <w:tcBorders>
              <w:top w:val="nil"/>
              <w:left w:val="nil"/>
              <w:bottom w:val="nil"/>
              <w:right w:val="nil"/>
            </w:tcBorders>
            <w:shd w:val="clear" w:color="auto" w:fill="auto"/>
            <w:noWrap/>
            <w:vAlign w:val="bottom"/>
          </w:tcPr>
          <w:p w14:paraId="66A18BE7" w14:textId="77777777" w:rsidR="000B66FF" w:rsidRPr="000B66FF" w:rsidRDefault="000B66FF" w:rsidP="000B66FF">
            <w:pPr>
              <w:ind w:right="0"/>
              <w:jc w:val="left"/>
              <w:rPr>
                <w:sz w:val="20"/>
                <w:szCs w:val="20"/>
                <w:lang w:val="es-CR" w:eastAsia="es-CR"/>
              </w:rPr>
            </w:pPr>
          </w:p>
        </w:tc>
        <w:tc>
          <w:tcPr>
            <w:tcW w:w="2640" w:type="dxa"/>
            <w:gridSpan w:val="2"/>
            <w:tcBorders>
              <w:top w:val="nil"/>
              <w:left w:val="nil"/>
              <w:bottom w:val="single" w:sz="4" w:space="0" w:color="auto"/>
              <w:right w:val="nil"/>
            </w:tcBorders>
            <w:shd w:val="clear" w:color="auto" w:fill="auto"/>
            <w:noWrap/>
            <w:vAlign w:val="bottom"/>
          </w:tcPr>
          <w:p w14:paraId="5E810F55" w14:textId="633D9EE8" w:rsidR="000B66FF" w:rsidRPr="000B66FF" w:rsidRDefault="000B66FF" w:rsidP="00380BF1">
            <w:pPr>
              <w:ind w:right="0"/>
              <w:rPr>
                <w:rFonts w:ascii="Calibri" w:hAnsi="Calibri" w:cs="Calibri"/>
                <w:b/>
                <w:bCs/>
                <w:color w:val="000000"/>
                <w:sz w:val="16"/>
                <w:szCs w:val="16"/>
                <w:lang w:val="es-CR" w:eastAsia="es-CR"/>
              </w:rPr>
            </w:pPr>
          </w:p>
        </w:tc>
        <w:tc>
          <w:tcPr>
            <w:tcW w:w="220" w:type="dxa"/>
            <w:tcBorders>
              <w:top w:val="nil"/>
              <w:left w:val="nil"/>
              <w:bottom w:val="nil"/>
              <w:right w:val="nil"/>
            </w:tcBorders>
            <w:shd w:val="clear" w:color="auto" w:fill="auto"/>
            <w:noWrap/>
            <w:vAlign w:val="bottom"/>
          </w:tcPr>
          <w:p w14:paraId="183617BB" w14:textId="77777777" w:rsidR="000B66FF" w:rsidRPr="000B66FF" w:rsidRDefault="000B66FF" w:rsidP="000B66FF">
            <w:pPr>
              <w:ind w:right="0"/>
              <w:jc w:val="center"/>
              <w:rPr>
                <w:rFonts w:ascii="Calibri" w:hAnsi="Calibri" w:cs="Calibri"/>
                <w:b/>
                <w:bCs/>
                <w:color w:val="000000"/>
                <w:sz w:val="16"/>
                <w:szCs w:val="16"/>
                <w:lang w:val="es-CR" w:eastAsia="es-CR"/>
              </w:rPr>
            </w:pPr>
          </w:p>
        </w:tc>
        <w:tc>
          <w:tcPr>
            <w:tcW w:w="2440" w:type="dxa"/>
            <w:gridSpan w:val="2"/>
            <w:tcBorders>
              <w:top w:val="nil"/>
              <w:left w:val="nil"/>
              <w:bottom w:val="single" w:sz="4" w:space="0" w:color="auto"/>
              <w:right w:val="nil"/>
            </w:tcBorders>
            <w:shd w:val="clear" w:color="auto" w:fill="auto"/>
            <w:noWrap/>
            <w:vAlign w:val="bottom"/>
          </w:tcPr>
          <w:p w14:paraId="6E393154" w14:textId="4E062790" w:rsidR="000B66FF" w:rsidRPr="000B66FF" w:rsidRDefault="000B66FF" w:rsidP="000B66FF">
            <w:pPr>
              <w:ind w:right="0"/>
              <w:jc w:val="center"/>
              <w:rPr>
                <w:rFonts w:ascii="Calibri" w:hAnsi="Calibri" w:cs="Calibri"/>
                <w:b/>
                <w:bCs/>
                <w:color w:val="000000"/>
                <w:sz w:val="16"/>
                <w:szCs w:val="16"/>
                <w:lang w:val="es-CR" w:eastAsia="es-CR"/>
              </w:rPr>
            </w:pPr>
          </w:p>
        </w:tc>
      </w:tr>
      <w:tr w:rsidR="000B66FF" w:rsidRPr="000B66FF" w14:paraId="05C8F375" w14:textId="77777777" w:rsidTr="00380BF1">
        <w:trPr>
          <w:trHeight w:val="300"/>
        </w:trPr>
        <w:tc>
          <w:tcPr>
            <w:tcW w:w="8180" w:type="dxa"/>
            <w:tcBorders>
              <w:top w:val="nil"/>
              <w:left w:val="nil"/>
              <w:bottom w:val="single" w:sz="4" w:space="0" w:color="auto"/>
              <w:right w:val="nil"/>
            </w:tcBorders>
            <w:shd w:val="clear" w:color="auto" w:fill="auto"/>
            <w:noWrap/>
            <w:vAlign w:val="bottom"/>
          </w:tcPr>
          <w:p w14:paraId="1239C21D" w14:textId="5D288DC3" w:rsidR="000B66FF" w:rsidRPr="000B66FF" w:rsidRDefault="000B66FF" w:rsidP="000B66FF">
            <w:pPr>
              <w:ind w:right="0"/>
              <w:jc w:val="left"/>
              <w:rPr>
                <w:rFonts w:ascii="Calibri" w:hAnsi="Calibri" w:cs="Calibri"/>
                <w:color w:val="000000"/>
                <w:sz w:val="16"/>
                <w:szCs w:val="16"/>
                <w:lang w:val="es-CR" w:eastAsia="es-CR"/>
              </w:rPr>
            </w:pPr>
          </w:p>
        </w:tc>
        <w:tc>
          <w:tcPr>
            <w:tcW w:w="1060" w:type="dxa"/>
            <w:tcBorders>
              <w:top w:val="nil"/>
              <w:left w:val="nil"/>
              <w:bottom w:val="single" w:sz="4" w:space="0" w:color="auto"/>
              <w:right w:val="nil"/>
            </w:tcBorders>
            <w:shd w:val="clear" w:color="auto" w:fill="auto"/>
            <w:noWrap/>
            <w:vAlign w:val="bottom"/>
          </w:tcPr>
          <w:p w14:paraId="4CD897EB" w14:textId="77D3527F" w:rsidR="000B66FF" w:rsidRPr="000B66FF" w:rsidRDefault="000B66FF" w:rsidP="000B66FF">
            <w:pPr>
              <w:ind w:right="0"/>
              <w:jc w:val="center"/>
              <w:rPr>
                <w:rFonts w:ascii="Calibri" w:hAnsi="Calibri" w:cs="Calibri"/>
                <w:b/>
                <w:bCs/>
                <w:color w:val="000000"/>
                <w:sz w:val="16"/>
                <w:szCs w:val="16"/>
                <w:lang w:val="es-CR" w:eastAsia="es-CR"/>
              </w:rPr>
            </w:pPr>
          </w:p>
        </w:tc>
        <w:tc>
          <w:tcPr>
            <w:tcW w:w="1269" w:type="dxa"/>
            <w:tcBorders>
              <w:top w:val="nil"/>
              <w:left w:val="nil"/>
              <w:bottom w:val="single" w:sz="4" w:space="0" w:color="auto"/>
              <w:right w:val="nil"/>
            </w:tcBorders>
            <w:shd w:val="clear" w:color="auto" w:fill="auto"/>
            <w:noWrap/>
            <w:vAlign w:val="bottom"/>
          </w:tcPr>
          <w:p w14:paraId="2C48F3DB" w14:textId="0110B81E" w:rsidR="000B66FF" w:rsidRPr="000B66FF" w:rsidRDefault="000B66FF" w:rsidP="000B66FF">
            <w:pPr>
              <w:ind w:right="0"/>
              <w:jc w:val="center"/>
              <w:rPr>
                <w:rFonts w:ascii="Calibri" w:hAnsi="Calibri" w:cs="Calibri"/>
                <w:b/>
                <w:bCs/>
                <w:color w:val="000000"/>
                <w:sz w:val="16"/>
                <w:szCs w:val="16"/>
                <w:lang w:val="es-CR" w:eastAsia="es-CR"/>
              </w:rPr>
            </w:pPr>
          </w:p>
        </w:tc>
        <w:tc>
          <w:tcPr>
            <w:tcW w:w="1371" w:type="dxa"/>
            <w:tcBorders>
              <w:top w:val="nil"/>
              <w:left w:val="nil"/>
              <w:bottom w:val="single" w:sz="4" w:space="0" w:color="auto"/>
              <w:right w:val="nil"/>
            </w:tcBorders>
            <w:shd w:val="clear" w:color="auto" w:fill="auto"/>
            <w:noWrap/>
            <w:vAlign w:val="bottom"/>
          </w:tcPr>
          <w:p w14:paraId="05BFD81A" w14:textId="7974129D" w:rsidR="000B66FF" w:rsidRPr="000B66FF" w:rsidRDefault="000B66FF" w:rsidP="000B66FF">
            <w:pPr>
              <w:ind w:right="0"/>
              <w:jc w:val="center"/>
              <w:rPr>
                <w:rFonts w:ascii="Calibri" w:hAnsi="Calibri" w:cs="Calibri"/>
                <w:b/>
                <w:bCs/>
                <w:color w:val="000000"/>
                <w:sz w:val="16"/>
                <w:szCs w:val="16"/>
                <w:lang w:val="es-CR" w:eastAsia="es-CR"/>
              </w:rPr>
            </w:pPr>
          </w:p>
        </w:tc>
        <w:tc>
          <w:tcPr>
            <w:tcW w:w="220" w:type="dxa"/>
            <w:tcBorders>
              <w:top w:val="nil"/>
              <w:left w:val="nil"/>
              <w:bottom w:val="single" w:sz="4" w:space="0" w:color="auto"/>
              <w:right w:val="nil"/>
            </w:tcBorders>
            <w:shd w:val="clear" w:color="auto" w:fill="auto"/>
            <w:noWrap/>
            <w:vAlign w:val="bottom"/>
          </w:tcPr>
          <w:p w14:paraId="2BD2121F" w14:textId="74FB0852" w:rsidR="000B66FF" w:rsidRPr="000B66FF" w:rsidRDefault="000B66FF" w:rsidP="000B66FF">
            <w:pPr>
              <w:ind w:right="0"/>
              <w:jc w:val="center"/>
              <w:rPr>
                <w:rFonts w:ascii="Calibri" w:hAnsi="Calibri" w:cs="Calibri"/>
                <w:b/>
                <w:bCs/>
                <w:color w:val="000000"/>
                <w:sz w:val="16"/>
                <w:szCs w:val="16"/>
                <w:lang w:val="es-CR" w:eastAsia="es-CR"/>
              </w:rPr>
            </w:pPr>
          </w:p>
        </w:tc>
        <w:tc>
          <w:tcPr>
            <w:tcW w:w="1173" w:type="dxa"/>
            <w:tcBorders>
              <w:top w:val="nil"/>
              <w:left w:val="nil"/>
              <w:bottom w:val="single" w:sz="4" w:space="0" w:color="auto"/>
              <w:right w:val="nil"/>
            </w:tcBorders>
            <w:shd w:val="clear" w:color="auto" w:fill="auto"/>
            <w:noWrap/>
            <w:vAlign w:val="bottom"/>
          </w:tcPr>
          <w:p w14:paraId="350DFD57" w14:textId="5D7B1DC2" w:rsidR="000B66FF" w:rsidRPr="000B66FF" w:rsidRDefault="000B66FF" w:rsidP="000B66FF">
            <w:pPr>
              <w:ind w:right="0"/>
              <w:jc w:val="center"/>
              <w:rPr>
                <w:rFonts w:ascii="Calibri" w:hAnsi="Calibri" w:cs="Calibri"/>
                <w:b/>
                <w:bCs/>
                <w:color w:val="000000"/>
                <w:sz w:val="16"/>
                <w:szCs w:val="16"/>
                <w:lang w:val="es-CR" w:eastAsia="es-CR"/>
              </w:rPr>
            </w:pPr>
          </w:p>
        </w:tc>
        <w:tc>
          <w:tcPr>
            <w:tcW w:w="1267" w:type="dxa"/>
            <w:tcBorders>
              <w:top w:val="nil"/>
              <w:left w:val="nil"/>
              <w:bottom w:val="single" w:sz="4" w:space="0" w:color="auto"/>
              <w:right w:val="nil"/>
            </w:tcBorders>
            <w:shd w:val="clear" w:color="auto" w:fill="auto"/>
            <w:noWrap/>
            <w:vAlign w:val="bottom"/>
          </w:tcPr>
          <w:p w14:paraId="74BCB06B" w14:textId="573191F0" w:rsidR="000B66FF" w:rsidRPr="000B66FF" w:rsidRDefault="000B66FF" w:rsidP="000B66FF">
            <w:pPr>
              <w:ind w:right="0"/>
              <w:jc w:val="center"/>
              <w:rPr>
                <w:rFonts w:ascii="Calibri" w:hAnsi="Calibri" w:cs="Calibri"/>
                <w:b/>
                <w:bCs/>
                <w:color w:val="000000"/>
                <w:sz w:val="16"/>
                <w:szCs w:val="16"/>
                <w:lang w:val="es-CR" w:eastAsia="es-CR"/>
              </w:rPr>
            </w:pPr>
          </w:p>
        </w:tc>
      </w:tr>
      <w:tr w:rsidR="000B66FF" w:rsidRPr="000B66FF" w14:paraId="64FB1E89" w14:textId="77777777" w:rsidTr="00380BF1">
        <w:trPr>
          <w:trHeight w:val="300"/>
        </w:trPr>
        <w:tc>
          <w:tcPr>
            <w:tcW w:w="8180" w:type="dxa"/>
            <w:tcBorders>
              <w:top w:val="nil"/>
              <w:left w:val="nil"/>
              <w:bottom w:val="nil"/>
              <w:right w:val="nil"/>
            </w:tcBorders>
            <w:shd w:val="clear" w:color="auto" w:fill="auto"/>
            <w:noWrap/>
            <w:vAlign w:val="bottom"/>
          </w:tcPr>
          <w:p w14:paraId="09308947" w14:textId="23B884B2" w:rsidR="000B66FF" w:rsidRPr="000B66FF" w:rsidRDefault="000B66FF" w:rsidP="000B66FF">
            <w:pPr>
              <w:ind w:right="0"/>
              <w:jc w:val="left"/>
              <w:rPr>
                <w:rFonts w:ascii="Calibri" w:hAnsi="Calibri" w:cs="Calibri"/>
                <w:b/>
                <w:bCs/>
                <w:color w:val="000000"/>
                <w:sz w:val="16"/>
                <w:szCs w:val="16"/>
                <w:lang w:val="es-CR" w:eastAsia="es-CR"/>
              </w:rPr>
            </w:pPr>
          </w:p>
        </w:tc>
        <w:tc>
          <w:tcPr>
            <w:tcW w:w="1060" w:type="dxa"/>
            <w:tcBorders>
              <w:top w:val="nil"/>
              <w:left w:val="nil"/>
              <w:bottom w:val="nil"/>
              <w:right w:val="nil"/>
            </w:tcBorders>
            <w:shd w:val="clear" w:color="auto" w:fill="auto"/>
            <w:noWrap/>
            <w:vAlign w:val="bottom"/>
          </w:tcPr>
          <w:p w14:paraId="260F1DFE" w14:textId="78C778B4" w:rsidR="000B66FF" w:rsidRPr="000B66FF" w:rsidRDefault="000B66FF" w:rsidP="000B66FF">
            <w:pPr>
              <w:ind w:right="0"/>
              <w:jc w:val="center"/>
              <w:rPr>
                <w:rFonts w:ascii="Calibri" w:hAnsi="Calibri" w:cs="Calibri"/>
                <w:color w:val="000000"/>
                <w:sz w:val="16"/>
                <w:szCs w:val="16"/>
                <w:lang w:val="es-CR" w:eastAsia="es-CR"/>
              </w:rPr>
            </w:pPr>
          </w:p>
        </w:tc>
        <w:tc>
          <w:tcPr>
            <w:tcW w:w="1269" w:type="dxa"/>
            <w:tcBorders>
              <w:top w:val="nil"/>
              <w:left w:val="nil"/>
              <w:bottom w:val="nil"/>
              <w:right w:val="nil"/>
            </w:tcBorders>
            <w:shd w:val="clear" w:color="auto" w:fill="auto"/>
            <w:noWrap/>
            <w:vAlign w:val="bottom"/>
          </w:tcPr>
          <w:p w14:paraId="2CFE71C4" w14:textId="176E7BA4" w:rsidR="000B66FF" w:rsidRPr="000B66FF" w:rsidRDefault="000B66FF" w:rsidP="000B66FF">
            <w:pPr>
              <w:ind w:right="0"/>
              <w:jc w:val="center"/>
              <w:rPr>
                <w:rFonts w:ascii="Calibri" w:hAnsi="Calibri" w:cs="Calibri"/>
                <w:color w:val="000000"/>
                <w:sz w:val="16"/>
                <w:szCs w:val="16"/>
                <w:lang w:val="es-CR" w:eastAsia="es-CR"/>
              </w:rPr>
            </w:pPr>
          </w:p>
        </w:tc>
        <w:tc>
          <w:tcPr>
            <w:tcW w:w="1371" w:type="dxa"/>
            <w:tcBorders>
              <w:top w:val="nil"/>
              <w:left w:val="nil"/>
              <w:bottom w:val="nil"/>
              <w:right w:val="nil"/>
            </w:tcBorders>
            <w:shd w:val="clear" w:color="auto" w:fill="auto"/>
            <w:noWrap/>
            <w:vAlign w:val="bottom"/>
          </w:tcPr>
          <w:p w14:paraId="385F3389" w14:textId="048A0BF0" w:rsidR="000B66FF" w:rsidRPr="000B66FF" w:rsidRDefault="000B66FF" w:rsidP="000B66FF">
            <w:pPr>
              <w:ind w:right="0"/>
              <w:jc w:val="center"/>
              <w:rPr>
                <w:rFonts w:ascii="Calibri" w:hAnsi="Calibri" w:cs="Calibri"/>
                <w:color w:val="000000"/>
                <w:sz w:val="16"/>
                <w:szCs w:val="16"/>
                <w:lang w:val="es-CR" w:eastAsia="es-CR"/>
              </w:rPr>
            </w:pPr>
          </w:p>
        </w:tc>
        <w:tc>
          <w:tcPr>
            <w:tcW w:w="220" w:type="dxa"/>
            <w:tcBorders>
              <w:top w:val="nil"/>
              <w:left w:val="nil"/>
              <w:bottom w:val="nil"/>
              <w:right w:val="nil"/>
            </w:tcBorders>
            <w:shd w:val="clear" w:color="auto" w:fill="auto"/>
            <w:noWrap/>
            <w:vAlign w:val="bottom"/>
          </w:tcPr>
          <w:p w14:paraId="3748E59D" w14:textId="77777777" w:rsidR="000B66FF" w:rsidRPr="000B66FF" w:rsidRDefault="000B66FF" w:rsidP="000B66FF">
            <w:pPr>
              <w:ind w:right="0"/>
              <w:jc w:val="center"/>
              <w:rPr>
                <w:rFonts w:ascii="Calibri" w:hAnsi="Calibri" w:cs="Calibri"/>
                <w:color w:val="000000"/>
                <w:sz w:val="16"/>
                <w:szCs w:val="16"/>
                <w:lang w:val="es-CR" w:eastAsia="es-CR"/>
              </w:rPr>
            </w:pPr>
          </w:p>
        </w:tc>
        <w:tc>
          <w:tcPr>
            <w:tcW w:w="1173" w:type="dxa"/>
            <w:tcBorders>
              <w:top w:val="nil"/>
              <w:left w:val="nil"/>
              <w:bottom w:val="nil"/>
              <w:right w:val="nil"/>
            </w:tcBorders>
            <w:shd w:val="clear" w:color="auto" w:fill="auto"/>
            <w:noWrap/>
            <w:vAlign w:val="bottom"/>
          </w:tcPr>
          <w:p w14:paraId="029D7F85" w14:textId="3EF8A2FF" w:rsidR="000B66FF" w:rsidRPr="000B66FF" w:rsidRDefault="000B66FF" w:rsidP="000B66FF">
            <w:pPr>
              <w:ind w:right="0"/>
              <w:jc w:val="center"/>
              <w:rPr>
                <w:rFonts w:ascii="Calibri" w:hAnsi="Calibri" w:cs="Calibri"/>
                <w:color w:val="000000"/>
                <w:sz w:val="16"/>
                <w:szCs w:val="16"/>
                <w:lang w:val="es-CR" w:eastAsia="es-CR"/>
              </w:rPr>
            </w:pPr>
          </w:p>
        </w:tc>
        <w:tc>
          <w:tcPr>
            <w:tcW w:w="1267" w:type="dxa"/>
            <w:tcBorders>
              <w:top w:val="nil"/>
              <w:left w:val="nil"/>
              <w:bottom w:val="nil"/>
              <w:right w:val="nil"/>
            </w:tcBorders>
            <w:shd w:val="clear" w:color="auto" w:fill="auto"/>
            <w:noWrap/>
            <w:vAlign w:val="bottom"/>
          </w:tcPr>
          <w:p w14:paraId="6F31CFBB" w14:textId="6391DBF0" w:rsidR="000B66FF" w:rsidRPr="000B66FF" w:rsidRDefault="000B66FF" w:rsidP="000B66FF">
            <w:pPr>
              <w:ind w:right="0"/>
              <w:jc w:val="center"/>
              <w:rPr>
                <w:rFonts w:ascii="Calibri" w:hAnsi="Calibri" w:cs="Calibri"/>
                <w:color w:val="000000"/>
                <w:sz w:val="16"/>
                <w:szCs w:val="16"/>
                <w:lang w:val="es-CR" w:eastAsia="es-CR"/>
              </w:rPr>
            </w:pPr>
          </w:p>
        </w:tc>
      </w:tr>
    </w:tbl>
    <w:p w14:paraId="54522D68" w14:textId="77777777" w:rsidR="00A65F5F" w:rsidRPr="00BF211A" w:rsidRDefault="00A65F5F" w:rsidP="00A65F5F">
      <w:pPr>
        <w:pStyle w:val="Ttulo4"/>
        <w:numPr>
          <w:ilvl w:val="0"/>
          <w:numId w:val="5"/>
        </w:numPr>
        <w:tabs>
          <w:tab w:val="left" w:pos="-142"/>
        </w:tabs>
        <w:ind w:firstLine="491"/>
      </w:pPr>
      <w:r w:rsidRPr="00BF211A">
        <w:t>Riesgo de tipo de cambio</w:t>
      </w:r>
    </w:p>
    <w:p w14:paraId="6FA4D1E9" w14:textId="77777777" w:rsidR="00A65F5F" w:rsidRPr="00BF211A" w:rsidRDefault="00A65F5F" w:rsidP="00A65F5F">
      <w:pPr>
        <w:ind w:right="-25"/>
      </w:pPr>
      <w:r w:rsidRPr="00BF211A">
        <w:t>El riesgo cambiario se define como la incertidumbre generada por las fluctuaciones en el tipo de cambio entre la moneda local y alguna moneda externa y conforme la empresa no muestre un equilibrio entre sus activos y pasivos denominados en la moneda externa. Si la empresa muestra una exposición cambiaria negativa (mayores pasivos que activos en moneda extranjera), un aumento en el tipo de cambio implica que la empresa debe de reflejar pérdidas cambiarias en sus resultados. El ICE tiene financiamientos fundamentalmente en dólares, en menor medida en yenes.</w:t>
      </w:r>
    </w:p>
    <w:p w14:paraId="2115BD66" w14:textId="77777777" w:rsidR="00A65F5F" w:rsidRPr="00AE4065" w:rsidRDefault="00A65F5F" w:rsidP="00A65F5F">
      <w:pPr>
        <w:ind w:right="-25"/>
        <w:rPr>
          <w:highlight w:val="yellow"/>
        </w:rPr>
      </w:pPr>
    </w:p>
    <w:p w14:paraId="5A0FBF4E" w14:textId="77777777" w:rsidR="00A65F5F" w:rsidRPr="00D75B7D" w:rsidRDefault="00A65F5F" w:rsidP="00A65F5F">
      <w:pPr>
        <w:pStyle w:val="Ttulo4"/>
        <w:numPr>
          <w:ilvl w:val="0"/>
          <w:numId w:val="5"/>
        </w:numPr>
        <w:tabs>
          <w:tab w:val="left" w:pos="-142"/>
        </w:tabs>
        <w:ind w:firstLine="491"/>
      </w:pPr>
      <w:r w:rsidRPr="00D75B7D">
        <w:t>Riesgo de tasas de interés</w:t>
      </w:r>
    </w:p>
    <w:p w14:paraId="0785BEE0" w14:textId="30DE7A4B" w:rsidR="002E51F1" w:rsidRDefault="00A65F5F" w:rsidP="002E51F1">
      <w:pPr>
        <w:ind w:right="-25"/>
      </w:pPr>
      <w:r w:rsidRPr="00D75B7D">
        <w:t xml:space="preserve">Las fluctuaciones en las tasas de interés, tanto locales como internacionales, representan un riesgo para el desempeño de cualquier empresa. </w:t>
      </w:r>
      <w:r w:rsidR="0063735F" w:rsidRPr="00D75B7D">
        <w:t>Una variación en dichas tasas podría</w:t>
      </w:r>
      <w:r w:rsidRPr="00D75B7D">
        <w:t xml:space="preserve"> afectar positiva o negativamente sus resultados, en el tanto la carga financiera asociada con sus deudas aumente o disminuya. Por ejemplo, un aumento en las tasas de interés socavaría los resultados financieros, ya que en términos generales el costo de las deudas está referido al nivel de tasas de interés (como por ejemplo la LIBOR, Prime Rate y la Tasa Básica Pasiva calculada por el Banco Central de Costa Rica).  </w:t>
      </w:r>
    </w:p>
    <w:p w14:paraId="30F841EF" w14:textId="77777777" w:rsidR="002E51F1" w:rsidRDefault="002E51F1" w:rsidP="002E51F1">
      <w:pPr>
        <w:ind w:right="-25"/>
      </w:pPr>
    </w:p>
    <w:p w14:paraId="7069370A" w14:textId="77777777" w:rsidR="00362993" w:rsidRDefault="00362993" w:rsidP="00362993">
      <w:pPr>
        <w:ind w:right="-25"/>
      </w:pPr>
    </w:p>
    <w:p w14:paraId="0F717D03" w14:textId="77777777" w:rsidR="00362993" w:rsidRDefault="00362993" w:rsidP="00362993">
      <w:pPr>
        <w:pStyle w:val="Ttulo4"/>
        <w:numPr>
          <w:ilvl w:val="0"/>
          <w:numId w:val="5"/>
        </w:numPr>
        <w:tabs>
          <w:tab w:val="left" w:pos="-142"/>
        </w:tabs>
        <w:ind w:firstLine="491"/>
      </w:pPr>
      <w:r>
        <w:t>Riesgo por cambios de metodologías para cálculo de tasas de interés.</w:t>
      </w:r>
    </w:p>
    <w:p w14:paraId="0FD591AB" w14:textId="77777777" w:rsidR="00362993" w:rsidRDefault="00362993" w:rsidP="00362993"/>
    <w:p w14:paraId="0F41FBBB" w14:textId="77777777" w:rsidR="00B93EA2" w:rsidRDefault="00B93EA2" w:rsidP="00B93EA2">
      <w:pPr>
        <w:rPr>
          <w:sz w:val="22"/>
          <w:szCs w:val="22"/>
          <w:lang w:val="es-CR" w:eastAsia="en-US"/>
        </w:rPr>
      </w:pPr>
      <w:r>
        <w:t>Este riesgo afecta a las emisiones con tasa variable y surge ante inconvenientes que pueda tener el emisor para calcular la tasa en los términos pactados, debido a un cambio de la entidad encargada del cálculo de la tasa de referencia, por no tener acceso a la información de la tasa de referencia en el lugar de publicación oficial, la eventualidad de cese de su cálculo por parte de la entidad responsable o la eventualidad de que no existan datos para calcular la tasa en un plazo específico. En caso de materializarse este riesgo, el cálculo del rendimiento a recibir por el inversionista para ese y futuros períodos, podría diferir respecto a la metodología y condiciones vigentes al momento de realizar la inversión.</w:t>
      </w:r>
    </w:p>
    <w:p w14:paraId="7162E7A8" w14:textId="77777777" w:rsidR="00B93EA2" w:rsidRDefault="00B93EA2" w:rsidP="00362993"/>
    <w:p w14:paraId="7A5E171B" w14:textId="4451C2D2" w:rsidR="00362993" w:rsidRPr="000A6E1B" w:rsidRDefault="00362993" w:rsidP="00362993">
      <w:pPr>
        <w:rPr>
          <w:rFonts w:asciiTheme="minorHAnsi" w:hAnsiTheme="minorHAnsi"/>
        </w:rPr>
      </w:pPr>
      <w:r w:rsidRPr="00A76B85">
        <w:t>Ante un eventual cambio de la metodología para el cálculo de la tasa Libor</w:t>
      </w:r>
      <w:r>
        <w:t xml:space="preserve">, Prime Rate, Tasa Básica Pasiva, el ICE </w:t>
      </w:r>
      <w:r w:rsidRPr="00A76B85">
        <w:t>se acogerá a las nuevas tasas pactadas</w:t>
      </w:r>
      <w:r>
        <w:t xml:space="preserve"> en forma mundial y según mercado local por lo establecido por el Banco Central de Costa Rica; </w:t>
      </w:r>
      <w:r w:rsidRPr="00A76B85">
        <w:t>pudiendo tener consecuencias para el inversionista, al existir la posibilidad de que perciba un interés diferente al esperado</w:t>
      </w:r>
      <w:r w:rsidRPr="002D07A4">
        <w:rPr>
          <w:rFonts w:asciiTheme="minorHAnsi" w:hAnsiTheme="minorHAnsi"/>
        </w:rPr>
        <w:t>.</w:t>
      </w:r>
    </w:p>
    <w:p w14:paraId="06A9696A" w14:textId="77777777" w:rsidR="00362993" w:rsidRPr="00AE4065" w:rsidRDefault="00362993" w:rsidP="00362993">
      <w:pPr>
        <w:ind w:right="-25"/>
        <w:rPr>
          <w:highlight w:val="yellow"/>
        </w:rPr>
      </w:pPr>
    </w:p>
    <w:p w14:paraId="2C3DABB3" w14:textId="77777777" w:rsidR="00A65F5F" w:rsidRPr="00D75B7D" w:rsidRDefault="00A65F5F" w:rsidP="00362993">
      <w:pPr>
        <w:pStyle w:val="Ttulo4"/>
        <w:numPr>
          <w:ilvl w:val="0"/>
          <w:numId w:val="5"/>
        </w:numPr>
        <w:tabs>
          <w:tab w:val="left" w:pos="-142"/>
        </w:tabs>
        <w:ind w:firstLine="491"/>
      </w:pPr>
      <w:r w:rsidRPr="00D75B7D">
        <w:t>Riesgo por inflación</w:t>
      </w:r>
    </w:p>
    <w:p w14:paraId="54F0C19A" w14:textId="77777777" w:rsidR="00A65F5F" w:rsidRPr="00D75B7D" w:rsidRDefault="00A65F5F" w:rsidP="00A65F5F">
      <w:pPr>
        <w:ind w:right="-25"/>
      </w:pPr>
      <w:r w:rsidRPr="00D75B7D">
        <w:t>La economía de un país puede verse afecta por el incremento generalizado de los precios de los bienes y servicios de dicha economía. Este efecto es conocido como inflación. Altos niveles de inflación afectan los niveles de tasas de interés, dado que entre mayor la inflación, mayor debería de ser la rentabilidad que un inversionista le exija a un título valor. Esto representa un riesgo para el inversionista, ya que al cambiar la rentabilidad exigida a un título valor, el precio de dicho título cambiará de manera inversa.</w:t>
      </w:r>
    </w:p>
    <w:p w14:paraId="3340070A" w14:textId="77777777" w:rsidR="00A65F5F" w:rsidRPr="00D75B7D" w:rsidRDefault="00A65F5F" w:rsidP="00A65F5F">
      <w:pPr>
        <w:ind w:right="-25"/>
      </w:pPr>
    </w:p>
    <w:p w14:paraId="3A5AD929" w14:textId="77777777" w:rsidR="00A65F5F" w:rsidRDefault="00A65F5F" w:rsidP="00A65F5F">
      <w:pPr>
        <w:ind w:right="-25"/>
      </w:pPr>
      <w:r w:rsidRPr="00D75B7D">
        <w:t>Adicionalmente mayores inflaciones podrían generar mayores costos para el ICE, lo cual generaría menores utilidades si no existe un ajuste proporcional en las tarifas de los servicios brindados.</w:t>
      </w:r>
      <w:r>
        <w:t xml:space="preserve">  </w:t>
      </w:r>
    </w:p>
    <w:p w14:paraId="5BAB7848" w14:textId="77777777" w:rsidR="00520CAB" w:rsidRDefault="00520CAB" w:rsidP="00A65F5F">
      <w:pPr>
        <w:ind w:right="-25"/>
      </w:pPr>
    </w:p>
    <w:p w14:paraId="5E419990" w14:textId="77777777" w:rsidR="00520CAB" w:rsidRDefault="00520CAB" w:rsidP="00A65F5F">
      <w:pPr>
        <w:ind w:right="-25"/>
      </w:pPr>
    </w:p>
    <w:p w14:paraId="67F6A82E" w14:textId="77777777" w:rsidR="00520CAB" w:rsidRDefault="00520CAB" w:rsidP="00A65F5F">
      <w:pPr>
        <w:ind w:right="-25"/>
      </w:pPr>
    </w:p>
    <w:p w14:paraId="28B87CA9" w14:textId="77777777" w:rsidR="0063735F" w:rsidRDefault="0063735F" w:rsidP="00A65F5F">
      <w:pPr>
        <w:ind w:right="-25"/>
      </w:pPr>
    </w:p>
    <w:p w14:paraId="509D8046" w14:textId="77777777" w:rsidR="0063735F" w:rsidRDefault="0063735F" w:rsidP="00A65F5F">
      <w:pPr>
        <w:ind w:right="-25"/>
      </w:pPr>
    </w:p>
    <w:p w14:paraId="7D20DE2C" w14:textId="77777777" w:rsidR="0063735F" w:rsidRDefault="0063735F" w:rsidP="00A65F5F">
      <w:pPr>
        <w:ind w:right="-25"/>
      </w:pPr>
    </w:p>
    <w:p w14:paraId="0095D0AC" w14:textId="77777777" w:rsidR="0063735F" w:rsidRDefault="0063735F" w:rsidP="00A65F5F">
      <w:pPr>
        <w:ind w:right="-25"/>
      </w:pPr>
    </w:p>
    <w:p w14:paraId="6C8608BB" w14:textId="77777777" w:rsidR="0063735F" w:rsidRDefault="0063735F" w:rsidP="00A65F5F">
      <w:pPr>
        <w:ind w:right="-25"/>
      </w:pPr>
    </w:p>
    <w:p w14:paraId="2DFDB939" w14:textId="77777777" w:rsidR="0063735F" w:rsidRDefault="0063735F" w:rsidP="00A65F5F">
      <w:pPr>
        <w:ind w:right="-25"/>
      </w:pPr>
    </w:p>
    <w:p w14:paraId="14259A8D" w14:textId="77777777" w:rsidR="0063735F" w:rsidRDefault="0063735F" w:rsidP="00A65F5F">
      <w:pPr>
        <w:ind w:right="-25"/>
      </w:pPr>
    </w:p>
    <w:p w14:paraId="77358648" w14:textId="77777777" w:rsidR="0063735F" w:rsidRDefault="0063735F" w:rsidP="00A65F5F">
      <w:pPr>
        <w:ind w:right="-25"/>
      </w:pPr>
    </w:p>
    <w:p w14:paraId="59E6CF53" w14:textId="77777777" w:rsidR="00520CAB" w:rsidRDefault="00520CAB" w:rsidP="00A65F5F">
      <w:pPr>
        <w:ind w:right="-25"/>
      </w:pPr>
    </w:p>
    <w:p w14:paraId="548BEDBC" w14:textId="77777777" w:rsidR="00520CAB" w:rsidRDefault="00520CAB" w:rsidP="00A65F5F">
      <w:pPr>
        <w:ind w:right="-25"/>
      </w:pPr>
    </w:p>
    <w:p w14:paraId="4A49BB28" w14:textId="77777777" w:rsidR="00900AD7" w:rsidRDefault="00900AD7" w:rsidP="00A65F5F">
      <w:pPr>
        <w:ind w:right="-25"/>
      </w:pPr>
    </w:p>
    <w:p w14:paraId="099DCF64" w14:textId="77777777" w:rsidR="00900AD7" w:rsidRDefault="00900AD7" w:rsidP="00A65F5F">
      <w:pPr>
        <w:ind w:right="-25"/>
      </w:pPr>
    </w:p>
    <w:p w14:paraId="0629EB59" w14:textId="0C6D7BAC" w:rsidR="00A65F5F" w:rsidRPr="00546FF9" w:rsidRDefault="00A65F5F" w:rsidP="00EF0D70">
      <w:pPr>
        <w:pStyle w:val="Ttulo2"/>
        <w:numPr>
          <w:ilvl w:val="1"/>
          <w:numId w:val="58"/>
        </w:numPr>
      </w:pPr>
      <w:bookmarkStart w:id="869" w:name="_Toc304737174"/>
      <w:bookmarkStart w:id="870" w:name="_Toc343676003"/>
      <w:bookmarkStart w:id="871" w:name="_Toc358619366"/>
      <w:bookmarkStart w:id="872" w:name="_Toc358620631"/>
      <w:bookmarkStart w:id="873" w:name="_Toc358621838"/>
      <w:bookmarkStart w:id="874" w:name="_Toc358622815"/>
      <w:bookmarkStart w:id="875" w:name="_Toc421264452"/>
      <w:bookmarkStart w:id="876" w:name="_Toc26357124"/>
      <w:bookmarkStart w:id="877" w:name="_Toc138664914"/>
      <w:bookmarkEnd w:id="206"/>
      <w:r w:rsidRPr="00546FF9">
        <w:t>Estados Financieros Auditados Grupo ICE</w:t>
      </w:r>
      <w:bookmarkEnd w:id="869"/>
      <w:bookmarkEnd w:id="870"/>
      <w:bookmarkEnd w:id="871"/>
      <w:bookmarkEnd w:id="872"/>
      <w:bookmarkEnd w:id="873"/>
      <w:bookmarkEnd w:id="874"/>
      <w:bookmarkEnd w:id="875"/>
      <w:bookmarkEnd w:id="876"/>
      <w:r w:rsidR="00D566C3">
        <w:t>.</w:t>
      </w:r>
      <w:bookmarkEnd w:id="877"/>
      <w:r w:rsidR="00D566C3">
        <w:t xml:space="preserve"> </w:t>
      </w:r>
    </w:p>
    <w:p w14:paraId="11367BC5" w14:textId="77777777" w:rsidR="00A65F5F" w:rsidRDefault="00A65F5F" w:rsidP="00A65F5F">
      <w:pPr>
        <w:ind w:left="-142" w:right="-25"/>
      </w:pPr>
    </w:p>
    <w:p w14:paraId="6B42C59B" w14:textId="77777777" w:rsidR="00ED6A07" w:rsidRPr="00C82711" w:rsidRDefault="00ED6A07" w:rsidP="00ED6A07">
      <w:pPr>
        <w:ind w:left="-567"/>
        <w:rPr>
          <w:b/>
          <w:lang w:val="es-ES"/>
        </w:rPr>
      </w:pPr>
      <w:bookmarkStart w:id="878" w:name="_Toc47336561"/>
      <w:bookmarkStart w:id="879" w:name="_Toc64527968"/>
      <w:bookmarkStart w:id="880" w:name="_Toc304737184"/>
      <w:bookmarkStart w:id="881" w:name="_Toc343676019"/>
      <w:bookmarkStart w:id="882" w:name="_Toc358619382"/>
      <w:bookmarkStart w:id="883" w:name="_Toc358620647"/>
      <w:bookmarkStart w:id="884" w:name="_Toc358621854"/>
      <w:bookmarkStart w:id="885" w:name="_Toc358622831"/>
      <w:bookmarkStart w:id="886" w:name="_Toc26357125"/>
      <w:r w:rsidRPr="00C82711">
        <w:rPr>
          <w:b/>
          <w:lang w:val="es-ES"/>
        </w:rPr>
        <w:t xml:space="preserve">Implementación </w:t>
      </w:r>
      <w:bookmarkEnd w:id="878"/>
      <w:bookmarkEnd w:id="879"/>
      <w:r w:rsidRPr="00C82711">
        <w:rPr>
          <w:b/>
          <w:lang w:val="es-ES"/>
        </w:rPr>
        <w:t>de las Normas Internacionales de Información Financiera en el ICE y el Grupo ICE</w:t>
      </w:r>
    </w:p>
    <w:p w14:paraId="7BA3B9C0" w14:textId="77777777" w:rsidR="00ED6A07" w:rsidRPr="00C82711" w:rsidRDefault="00ED6A07" w:rsidP="00ED6A07">
      <w:pPr>
        <w:ind w:left="-567"/>
        <w:rPr>
          <w:lang w:val="es-ES"/>
        </w:rPr>
      </w:pPr>
    </w:p>
    <w:p w14:paraId="6032F69C" w14:textId="77777777" w:rsidR="00892DA2" w:rsidRPr="00D45D17" w:rsidRDefault="00892DA2" w:rsidP="00892DA2">
      <w:pPr>
        <w:ind w:left="-567"/>
        <w:rPr>
          <w:lang w:val="es-ES"/>
        </w:rPr>
      </w:pPr>
      <w:r w:rsidRPr="00D45D17">
        <w:rPr>
          <w:lang w:val="es-ES"/>
        </w:rPr>
        <w:t xml:space="preserve">El ICE presentó sus primeros estados financieros auditados, de acuerdo con las Normas Internacionales de Información Financiera (NIIF) a partir del período 2020, mediante la declaración explícita y sin reservas de su cumplimiento, así como las respectivas revelaciones que solicitan las mismas normas para la emisión de los estados financieros por primera vez con base en NIIF. </w:t>
      </w:r>
    </w:p>
    <w:p w14:paraId="2541C576" w14:textId="0B60394A" w:rsidR="00ED6A07" w:rsidRDefault="00ED6A07" w:rsidP="00ED6A07">
      <w:pPr>
        <w:ind w:left="-567"/>
        <w:rPr>
          <w:lang w:val="es-ES"/>
        </w:rPr>
      </w:pPr>
    </w:p>
    <w:p w14:paraId="6D2902CF" w14:textId="33A84761" w:rsidR="002513E6" w:rsidRPr="00072160" w:rsidRDefault="002513E6" w:rsidP="002513E6">
      <w:pPr>
        <w:ind w:left="-567"/>
        <w:rPr>
          <w:b/>
          <w:bCs/>
          <w:lang w:val="es-ES"/>
        </w:rPr>
      </w:pPr>
      <w:r>
        <w:rPr>
          <w:lang w:val="es-ES"/>
        </w:rPr>
        <w:t>Dado lo anterior, a partir de la fecha de implementación, el ICE prepara l</w:t>
      </w:r>
      <w:r w:rsidRPr="00072160">
        <w:rPr>
          <w:lang w:val="es-ES"/>
        </w:rPr>
        <w:t>os estados financieros</w:t>
      </w:r>
      <w:r>
        <w:rPr>
          <w:lang w:val="es-ES"/>
        </w:rPr>
        <w:t xml:space="preserve"> de acuerdo con esta normativa contable, tal como se evidencia en el Informe</w:t>
      </w:r>
      <w:r w:rsidRPr="00072160">
        <w:rPr>
          <w:lang w:val="es-ES"/>
        </w:rPr>
        <w:t xml:space="preserve"> </w:t>
      </w:r>
      <w:r>
        <w:rPr>
          <w:lang w:val="es-ES"/>
        </w:rPr>
        <w:t xml:space="preserve">Auditado </w:t>
      </w:r>
      <w:r w:rsidRPr="00072160">
        <w:rPr>
          <w:lang w:val="es-ES"/>
        </w:rPr>
        <w:t>del Instituto Costarricense de Electricidad (ICE) para el periodo 202</w:t>
      </w:r>
      <w:r w:rsidR="00571A45">
        <w:rPr>
          <w:lang w:val="es-ES"/>
        </w:rPr>
        <w:t>2</w:t>
      </w:r>
      <w:r w:rsidRPr="00072160">
        <w:rPr>
          <w:lang w:val="es-ES"/>
        </w:rPr>
        <w:t xml:space="preserve">, </w:t>
      </w:r>
      <w:r>
        <w:rPr>
          <w:lang w:val="es-ES"/>
        </w:rPr>
        <w:t xml:space="preserve">que </w:t>
      </w:r>
      <w:r w:rsidRPr="00072160">
        <w:rPr>
          <w:lang w:val="es-ES"/>
        </w:rPr>
        <w:t>en la Nota 2 “Bases de Contabilidad”</w:t>
      </w:r>
      <w:r>
        <w:rPr>
          <w:lang w:val="es-ES"/>
        </w:rPr>
        <w:t xml:space="preserve"> indica:</w:t>
      </w:r>
    </w:p>
    <w:p w14:paraId="05828D73" w14:textId="77777777" w:rsidR="002513E6" w:rsidRDefault="002513E6" w:rsidP="00ED6A07">
      <w:pPr>
        <w:ind w:left="-567"/>
        <w:rPr>
          <w:lang w:val="es-ES"/>
        </w:rPr>
      </w:pPr>
    </w:p>
    <w:p w14:paraId="674100C1" w14:textId="484079EE" w:rsidR="00ED6A07" w:rsidRPr="00765A7A" w:rsidRDefault="00ED6A07" w:rsidP="00ED6A07">
      <w:pPr>
        <w:ind w:left="-567"/>
        <w:rPr>
          <w:lang w:val="es-ES"/>
        </w:rPr>
      </w:pPr>
    </w:p>
    <w:p w14:paraId="43C6D17E" w14:textId="77777777" w:rsidR="00ED6A07" w:rsidRPr="00765A7A" w:rsidRDefault="00ED6A07" w:rsidP="00ED6A07">
      <w:pPr>
        <w:ind w:left="-567"/>
        <w:rPr>
          <w:lang w:val="es-ES"/>
        </w:rPr>
      </w:pPr>
    </w:p>
    <w:p w14:paraId="3D5F9F66" w14:textId="1740A54E" w:rsidR="00ED6A07" w:rsidRDefault="00ED6A07" w:rsidP="00ED6A07">
      <w:pPr>
        <w:ind w:left="-142" w:right="616"/>
        <w:rPr>
          <w:b/>
          <w:lang w:val="es-ES"/>
        </w:rPr>
      </w:pPr>
      <w:r w:rsidRPr="00765A7A">
        <w:rPr>
          <w:lang w:val="es-ES"/>
        </w:rPr>
        <w:t>“</w:t>
      </w:r>
      <w:r w:rsidRPr="00765A7A">
        <w:rPr>
          <w:b/>
          <w:lang w:val="es-ES"/>
        </w:rPr>
        <w:t>Bases de contabilidad</w:t>
      </w:r>
    </w:p>
    <w:p w14:paraId="6C1BC6CA" w14:textId="77777777" w:rsidR="002513E6" w:rsidRPr="00B2260D" w:rsidRDefault="002513E6" w:rsidP="002513E6">
      <w:pPr>
        <w:tabs>
          <w:tab w:val="left" w:pos="-720"/>
        </w:tabs>
        <w:suppressAutoHyphens/>
        <w:ind w:right="0"/>
        <w:rPr>
          <w:i/>
        </w:rPr>
      </w:pPr>
      <w:r w:rsidRPr="00B2260D">
        <w:rPr>
          <w:i/>
        </w:rPr>
        <w:t>“Los estados financieros del Grupo ICE, han sido preparados de acuerdo con las Normas Internacionales de Información Financiera (NIIF).”</w:t>
      </w:r>
    </w:p>
    <w:p w14:paraId="26125CAE" w14:textId="77777777" w:rsidR="002513E6" w:rsidRPr="00765A7A" w:rsidRDefault="002513E6" w:rsidP="00ED6A07">
      <w:pPr>
        <w:ind w:left="-142" w:right="616"/>
        <w:rPr>
          <w:lang w:val="es-ES"/>
        </w:rPr>
      </w:pPr>
    </w:p>
    <w:p w14:paraId="1872D09E" w14:textId="77777777" w:rsidR="00ED6A07" w:rsidRPr="00765A7A" w:rsidRDefault="00ED6A07" w:rsidP="00ED6A07">
      <w:pPr>
        <w:ind w:left="-142" w:right="616"/>
        <w:rPr>
          <w:lang w:val="es-ES"/>
        </w:rPr>
      </w:pPr>
    </w:p>
    <w:p w14:paraId="0482A5BB" w14:textId="77777777" w:rsidR="00ED6A07" w:rsidRPr="00C82711" w:rsidRDefault="00ED6A07" w:rsidP="00ED6A07">
      <w:pPr>
        <w:ind w:left="-567"/>
        <w:rPr>
          <w:lang w:val="es-ES"/>
        </w:rPr>
      </w:pPr>
    </w:p>
    <w:p w14:paraId="2238729B" w14:textId="77777777" w:rsidR="00AC4EFA" w:rsidRPr="00D45D17" w:rsidRDefault="00AC4EFA" w:rsidP="00AC4EFA">
      <w:pPr>
        <w:ind w:left="-567"/>
        <w:rPr>
          <w:lang w:val="es-ES"/>
        </w:rPr>
      </w:pPr>
      <w:r w:rsidRPr="00D45D17">
        <w:rPr>
          <w:lang w:val="es-ES"/>
        </w:rPr>
        <w:t>El ICE desde la fecha de implementación ha realizado las acciones necesarias para  garantizar la continuidad operativa y los altos estándares que exigen las NIIF, considerando los  temas financieros, de mercado, del contexto actuarial y de otros especialistas, entre otros de alta complejidad, que han sido incorporados en la elaboración y presentación de los estados financieros, según las mejores prácticas internacionales contenidas en esa normativa.  A continuación, se detallan algunos de estos elementos:</w:t>
      </w:r>
    </w:p>
    <w:p w14:paraId="78033F94" w14:textId="77777777" w:rsidR="00607A98" w:rsidRPr="00F732C3" w:rsidRDefault="00607A98" w:rsidP="00607A98">
      <w:pPr>
        <w:ind w:left="-567"/>
        <w:rPr>
          <w:rFonts w:ascii="Arial" w:hAnsi="Arial" w:cs="Arial"/>
          <w:sz w:val="22"/>
          <w:szCs w:val="22"/>
          <w:lang w:val="es-ES"/>
        </w:rPr>
      </w:pPr>
    </w:p>
    <w:p w14:paraId="2FAB032C" w14:textId="77777777" w:rsidR="00607A98" w:rsidRPr="00D45D17" w:rsidRDefault="00607A98" w:rsidP="00607A98">
      <w:pPr>
        <w:pStyle w:val="Prrafodelista"/>
        <w:numPr>
          <w:ilvl w:val="0"/>
          <w:numId w:val="63"/>
        </w:numPr>
        <w:rPr>
          <w:lang w:val="es-ES"/>
        </w:rPr>
      </w:pPr>
      <w:r w:rsidRPr="00D45D17">
        <w:rPr>
          <w:lang w:val="es-ES"/>
        </w:rPr>
        <w:t>Requerimientos asociados con el reconocimiento, medición y revelación que exigen las Normas para cada una de las transacciones.</w:t>
      </w:r>
    </w:p>
    <w:p w14:paraId="4EA587A0" w14:textId="77777777" w:rsidR="00607A98" w:rsidRPr="00D45D17" w:rsidRDefault="00607A98" w:rsidP="00607A98">
      <w:pPr>
        <w:pStyle w:val="Prrafodelista"/>
        <w:numPr>
          <w:ilvl w:val="0"/>
          <w:numId w:val="63"/>
        </w:numPr>
        <w:rPr>
          <w:lang w:val="es-ES"/>
        </w:rPr>
      </w:pPr>
      <w:r w:rsidRPr="00D45D17">
        <w:rPr>
          <w:lang w:val="es-ES"/>
        </w:rPr>
        <w:t xml:space="preserve">Revisión y actualización permanente, en función de las modificaciones constantes, presentes y futuras requeridas por el organismo internacional emisor de las NIIF (IASB).   </w:t>
      </w:r>
    </w:p>
    <w:p w14:paraId="3F50DA65" w14:textId="77777777" w:rsidR="00607A98" w:rsidRPr="00607A98" w:rsidRDefault="00607A98" w:rsidP="00607A98">
      <w:pPr>
        <w:pStyle w:val="Prrafodelista"/>
        <w:numPr>
          <w:ilvl w:val="0"/>
          <w:numId w:val="63"/>
        </w:numPr>
        <w:rPr>
          <w:lang w:val="es-ES"/>
        </w:rPr>
      </w:pPr>
      <w:r w:rsidRPr="00D45D17">
        <w:rPr>
          <w:lang w:val="es-ES"/>
        </w:rPr>
        <w:t xml:space="preserve">Seguimiento y controles rigurosos, en el proceso de integración de fideicomisos (4 vehículos de propósito especial vigentes), en los estados financieros, de forma  que considere la correcta homologación de políticas contables, así como la eliminación de transacciones recíprocas. </w:t>
      </w:r>
    </w:p>
    <w:p w14:paraId="2D498739" w14:textId="77777777" w:rsidR="00ED6A07" w:rsidRPr="00C82711" w:rsidRDefault="00ED6A07" w:rsidP="00ED6A07">
      <w:pPr>
        <w:ind w:left="-567"/>
        <w:rPr>
          <w:lang w:val="es-ES"/>
        </w:rPr>
      </w:pPr>
    </w:p>
    <w:p w14:paraId="248EF4FB" w14:textId="77777777" w:rsidR="001146BE" w:rsidRPr="00D45D17" w:rsidRDefault="001146BE" w:rsidP="001146BE">
      <w:pPr>
        <w:ind w:left="-567"/>
        <w:rPr>
          <w:lang w:val="es-ES"/>
        </w:rPr>
      </w:pPr>
      <w:r w:rsidRPr="00D45D17">
        <w:rPr>
          <w:lang w:val="es-ES"/>
        </w:rPr>
        <w:t>Las Normas Internacionales de Información Financiera cumplen el objetivo de contar con estándares internacionales que permitan elaborar y presentar información financiera con parámetros homólogos entre empresas de distintos países y con ello que su lectura e interpretación puedan darse por cualquier usuario a nivel internacional.</w:t>
      </w:r>
    </w:p>
    <w:p w14:paraId="1B590659" w14:textId="77777777" w:rsidR="001146BE" w:rsidRPr="00D45D17" w:rsidRDefault="001146BE" w:rsidP="001146BE">
      <w:pPr>
        <w:ind w:left="-567"/>
        <w:rPr>
          <w:lang w:val="es-ES"/>
        </w:rPr>
      </w:pPr>
    </w:p>
    <w:p w14:paraId="4155360C" w14:textId="77777777" w:rsidR="001146BE" w:rsidRPr="00D45D17" w:rsidRDefault="001146BE" w:rsidP="001146BE">
      <w:pPr>
        <w:ind w:left="-567"/>
      </w:pPr>
      <w:r w:rsidRPr="00D45D17">
        <w:rPr>
          <w:lang w:val="es-ES"/>
        </w:rPr>
        <w:t>Los esfuerzos realizados por el ICE para mostrar estados financieros, de acuerdo con las NIIF brindan confianza, transparencia y comparabilidad de la información financiera, otorgando grandes ventajas ante la opinión pública y diferentes instancias nacionales e internacionales, no solamente para el ICE, sino para el país, considerando que el ICE es una empresa de reconocimiento global y una de las más grandes de Costa Rica. Adicionalmente, le permiten al Instituto cumplir con las directrices emitidas por la Dirección General de Contabilidad Nacional (DGCN) del Ministerio de Hacienda, ente rector en materia contable para el Sector Público en Costa Rica, así como requerimientos de otros órganos reguladores y fiscalizadores, tales como la Contraloría General de la República (CGR), Autoridad Reguladora de los Servicios Públicos (ARESEP) y la Superintendencia General de Valores (SUGEVAL).</w:t>
      </w:r>
    </w:p>
    <w:p w14:paraId="2C78FE50" w14:textId="77777777" w:rsidR="00ED6A07" w:rsidRDefault="00ED6A07" w:rsidP="00ED6A07">
      <w:pPr>
        <w:ind w:left="-567"/>
        <w:rPr>
          <w:lang w:val="es-ES"/>
        </w:rPr>
      </w:pPr>
    </w:p>
    <w:p w14:paraId="6139FEF6" w14:textId="77777777" w:rsidR="00ED6A07" w:rsidRPr="0082422E" w:rsidRDefault="00ED6A07" w:rsidP="006B309A">
      <w:pPr>
        <w:ind w:left="-567" w:right="-25"/>
      </w:pPr>
    </w:p>
    <w:p w14:paraId="08F720E0" w14:textId="77777777" w:rsidR="00A65F5F" w:rsidRPr="009017DB" w:rsidRDefault="00A65F5F" w:rsidP="00EF0D70">
      <w:pPr>
        <w:pStyle w:val="Ttulo2"/>
        <w:numPr>
          <w:ilvl w:val="1"/>
          <w:numId w:val="58"/>
        </w:numPr>
      </w:pPr>
      <w:bookmarkStart w:id="887" w:name="_Toc138664915"/>
      <w:r w:rsidRPr="009017DB">
        <w:t>Análisis de Indicadores Financieros</w:t>
      </w:r>
      <w:bookmarkEnd w:id="880"/>
      <w:bookmarkEnd w:id="881"/>
      <w:bookmarkEnd w:id="882"/>
      <w:bookmarkEnd w:id="883"/>
      <w:bookmarkEnd w:id="884"/>
      <w:bookmarkEnd w:id="885"/>
      <w:bookmarkEnd w:id="886"/>
      <w:bookmarkEnd w:id="887"/>
    </w:p>
    <w:p w14:paraId="0BB4EE5F" w14:textId="77777777" w:rsidR="00F553EA" w:rsidRDefault="00F553EA" w:rsidP="003274D3">
      <w:pPr>
        <w:pStyle w:val="Prrafodelista"/>
        <w:autoSpaceDE w:val="0"/>
        <w:autoSpaceDN w:val="0"/>
        <w:adjustRightInd w:val="0"/>
        <w:ind w:left="480" w:right="0"/>
        <w:jc w:val="left"/>
        <w:rPr>
          <w:rFonts w:eastAsiaTheme="minorHAnsi"/>
          <w:i/>
          <w:iCs/>
          <w:color w:val="000000"/>
          <w:sz w:val="22"/>
          <w:szCs w:val="22"/>
          <w:lang w:val="es-CR" w:eastAsia="en-US"/>
        </w:rPr>
      </w:pPr>
    </w:p>
    <w:p w14:paraId="37296072" w14:textId="69907216" w:rsidR="00A8401F" w:rsidRPr="008574EB" w:rsidRDefault="00F553EA" w:rsidP="00A8401F">
      <w:r w:rsidRPr="00AC56C7">
        <w:t xml:space="preserve">A </w:t>
      </w:r>
      <w:r w:rsidR="005C4A51" w:rsidRPr="00AC56C7">
        <w:t>continuación,</w:t>
      </w:r>
      <w:r w:rsidRPr="00AC56C7">
        <w:t xml:space="preserve"> se </w:t>
      </w:r>
      <w:r w:rsidR="00A8401F" w:rsidRPr="00AC56C7">
        <w:t xml:space="preserve">detalla la opinión </w:t>
      </w:r>
      <w:r w:rsidR="009A0F73">
        <w:t xml:space="preserve">limpia </w:t>
      </w:r>
      <w:r w:rsidR="00A8401F" w:rsidRPr="00AC56C7">
        <w:t>de los estados financieros del Instituto Costarricense de Electricidad al 31 de diciembre de 20</w:t>
      </w:r>
      <w:r w:rsidR="0020490F">
        <w:t>2</w:t>
      </w:r>
      <w:r w:rsidR="000869F6">
        <w:t>2</w:t>
      </w:r>
      <w:r w:rsidR="00A8401F" w:rsidRPr="00AC56C7">
        <w:t>, emitida por los auditores externos</w:t>
      </w:r>
      <w:r w:rsidR="005C051D">
        <w:t>, la cual se encuentra libre de cualquier calificación o salvedad:</w:t>
      </w:r>
    </w:p>
    <w:p w14:paraId="4965B627" w14:textId="77777777" w:rsidR="00F553EA" w:rsidRPr="008574EB" w:rsidRDefault="00F553EA" w:rsidP="003274D3">
      <w:pPr>
        <w:pStyle w:val="Prrafodelista"/>
        <w:autoSpaceDE w:val="0"/>
        <w:autoSpaceDN w:val="0"/>
        <w:adjustRightInd w:val="0"/>
        <w:ind w:left="480" w:right="0"/>
        <w:jc w:val="left"/>
        <w:rPr>
          <w:rFonts w:eastAsiaTheme="minorHAnsi"/>
          <w:iCs/>
          <w:color w:val="000000"/>
          <w:sz w:val="22"/>
          <w:szCs w:val="22"/>
          <w:lang w:val="es-CR" w:eastAsia="en-US"/>
        </w:rPr>
      </w:pPr>
      <w:r w:rsidRPr="008574EB">
        <w:rPr>
          <w:rFonts w:eastAsiaTheme="minorHAnsi"/>
          <w:iCs/>
          <w:color w:val="000000"/>
          <w:sz w:val="22"/>
          <w:szCs w:val="22"/>
          <w:lang w:val="es-CR" w:eastAsia="en-US"/>
        </w:rPr>
        <w:t xml:space="preserve"> </w:t>
      </w:r>
    </w:p>
    <w:p w14:paraId="5E09CD9C" w14:textId="77777777" w:rsidR="00687A64" w:rsidRDefault="00687A64" w:rsidP="003274D3">
      <w:pPr>
        <w:pStyle w:val="Prrafodelista"/>
        <w:autoSpaceDE w:val="0"/>
        <w:autoSpaceDN w:val="0"/>
        <w:adjustRightInd w:val="0"/>
        <w:ind w:left="480" w:right="0"/>
        <w:jc w:val="left"/>
        <w:rPr>
          <w:rFonts w:eastAsiaTheme="minorHAnsi"/>
          <w:i/>
          <w:iCs/>
          <w:color w:val="000000"/>
          <w:sz w:val="22"/>
          <w:szCs w:val="22"/>
          <w:lang w:val="es-CR" w:eastAsia="en-US"/>
        </w:rPr>
      </w:pPr>
    </w:p>
    <w:p w14:paraId="228D46CB" w14:textId="7D45E4DA" w:rsidR="009A0F73" w:rsidRDefault="009A0F73" w:rsidP="009A0F73">
      <w:pPr>
        <w:pStyle w:val="Prrafodelista"/>
        <w:autoSpaceDE w:val="0"/>
        <w:autoSpaceDN w:val="0"/>
        <w:adjustRightInd w:val="0"/>
        <w:ind w:left="480" w:right="0"/>
        <w:rPr>
          <w:rFonts w:eastAsiaTheme="minorHAnsi"/>
          <w:i/>
          <w:iCs/>
          <w:color w:val="000000"/>
          <w:lang w:val="es-CR" w:eastAsia="en-US"/>
        </w:rPr>
      </w:pPr>
      <w:r>
        <w:rPr>
          <w:rFonts w:eastAsiaTheme="minorHAnsi"/>
          <w:i/>
          <w:iCs/>
          <w:color w:val="000000"/>
          <w:lang w:val="es-CR" w:eastAsia="en-US"/>
        </w:rPr>
        <w:t>“</w:t>
      </w:r>
      <w:r w:rsidRPr="00B2260D">
        <w:rPr>
          <w:rFonts w:eastAsiaTheme="minorHAnsi"/>
          <w:i/>
          <w:iCs/>
          <w:color w:val="000000"/>
          <w:lang w:val="es-CR" w:eastAsia="en-US"/>
        </w:rPr>
        <w:t>Opinión</w:t>
      </w:r>
    </w:p>
    <w:p w14:paraId="62227ED8" w14:textId="77777777" w:rsidR="00DD0FB9" w:rsidRDefault="00DD0FB9" w:rsidP="009A0F73">
      <w:pPr>
        <w:pStyle w:val="Prrafodelista"/>
        <w:autoSpaceDE w:val="0"/>
        <w:autoSpaceDN w:val="0"/>
        <w:adjustRightInd w:val="0"/>
        <w:ind w:left="480" w:right="0"/>
        <w:rPr>
          <w:rFonts w:eastAsiaTheme="minorHAnsi"/>
          <w:i/>
          <w:iCs/>
          <w:color w:val="000000"/>
          <w:lang w:val="es-CR" w:eastAsia="en-US"/>
        </w:rPr>
      </w:pPr>
    </w:p>
    <w:p w14:paraId="6DACC988" w14:textId="77777777" w:rsidR="00DD0FB9" w:rsidRDefault="00DD0FB9" w:rsidP="00DD0FB9">
      <w:pPr>
        <w:autoSpaceDE w:val="0"/>
        <w:autoSpaceDN w:val="0"/>
        <w:adjustRightInd w:val="0"/>
      </w:pPr>
      <w:r>
        <w:t xml:space="preserve">Hemos auditado los estados financieros consolidados del Instituto Costarricense de Electricidad y </w:t>
      </w:r>
      <w:r>
        <w:rPr>
          <w:rFonts w:ascii="TimesNewRomanPSMT" w:hAnsi="TimesNewRomanPSMT" w:cs="TimesNewRomanPSMT"/>
        </w:rPr>
        <w:t xml:space="preserve">Subsidiarias (en adelante “Grupo ICE”), los cuales comprenden </w:t>
      </w:r>
      <w:r>
        <w:t>el estado consolidado de situación financiera al 31 de diciembre del 2022, los estados consolidados de resultados y otros resultados integrales, de cambios en el patrimonio y de flujos de efectivo por el año terminado en esa fecha, y las notas, las cuales conforman las políticas contables significativas y otra información explicativa.</w:t>
      </w:r>
    </w:p>
    <w:p w14:paraId="18BC5D78" w14:textId="77777777" w:rsidR="00DD0FB9" w:rsidRDefault="00DD0FB9" w:rsidP="00DD0FB9">
      <w:pPr>
        <w:autoSpaceDE w:val="0"/>
        <w:autoSpaceDN w:val="0"/>
        <w:adjustRightInd w:val="0"/>
      </w:pPr>
    </w:p>
    <w:p w14:paraId="0D5A9033" w14:textId="77777777" w:rsidR="00DD0FB9" w:rsidRDefault="00DD0FB9" w:rsidP="00DD0FB9">
      <w:pPr>
        <w:autoSpaceDE w:val="0"/>
        <w:autoSpaceDN w:val="0"/>
        <w:adjustRightInd w:val="0"/>
      </w:pPr>
      <w:r>
        <w:t>En nuestra opinión, los estados financieros consolidados que se acompañan presentan razonablemente, en todos sus aspectos materiales, la situación financiera consolidada del Grupo ICE al 31 de diciembre del 2022, y su desempeño financiero consolidado y sus flujos de efectivo consolidados por el año terminado en esa fecha, de conformidad con las Normas Internacionales de Información Financiera (NIIF).</w:t>
      </w:r>
    </w:p>
    <w:p w14:paraId="665AB291" w14:textId="77777777" w:rsidR="00DD0FB9" w:rsidRDefault="00DD0FB9" w:rsidP="00DD0FB9">
      <w:pPr>
        <w:autoSpaceDE w:val="0"/>
        <w:autoSpaceDN w:val="0"/>
        <w:adjustRightInd w:val="0"/>
      </w:pPr>
    </w:p>
    <w:p w14:paraId="40814DCD" w14:textId="77777777" w:rsidR="00DD0FB9" w:rsidRDefault="00DD0FB9" w:rsidP="00DD0FB9">
      <w:pPr>
        <w:autoSpaceDE w:val="0"/>
        <w:autoSpaceDN w:val="0"/>
        <w:adjustRightInd w:val="0"/>
      </w:pPr>
      <w:r>
        <w:t xml:space="preserve">Efectuamos nuestra auditoría de conformidad con las Normas Internacionales de Auditoría (NIA). Nuestras responsabilidades de acuerdo con dichas normas se describen con mayor detalle en la sección de nuestro informe </w:t>
      </w:r>
      <w:r w:rsidRPr="00730B18">
        <w:t>“Responsabilidades del auditor en la auditoría de los estados financieros consolidados”</w:t>
      </w:r>
      <w:r>
        <w:t>. Somos independientes del Grupo ICE de conformidad con el Código de Ética para Profesionales de la Contabilidad del Consejo de Normas Internacionales de Ética para Contadores (Código IESBA), en conjunto con los requisitos éticos relevantes para nuestra auditoría de los estados financieros consolidados en la República de Costa Rica, y hemos cumplido con las demás responsabilidades éticas de conformidad con estos requisitos. Consideramos que la evidencia de auditoría que hemos obtenido es suficiente y apropiada para</w:t>
      </w:r>
    </w:p>
    <w:p w14:paraId="3B92853E" w14:textId="77777777" w:rsidR="00DD0FB9" w:rsidRPr="00730B18" w:rsidRDefault="00DD0FB9" w:rsidP="00DD0FB9">
      <w:pPr>
        <w:autoSpaceDE w:val="0"/>
        <w:autoSpaceDN w:val="0"/>
        <w:adjustRightInd w:val="0"/>
      </w:pPr>
      <w:r>
        <w:t>proporcionar una base para nuestra opinión.</w:t>
      </w:r>
    </w:p>
    <w:p w14:paraId="58307AFC" w14:textId="77777777" w:rsidR="00EB7758" w:rsidRPr="00B2260D" w:rsidRDefault="00EB7758" w:rsidP="009A0F73">
      <w:pPr>
        <w:pStyle w:val="Prrafodelista"/>
        <w:autoSpaceDE w:val="0"/>
        <w:autoSpaceDN w:val="0"/>
        <w:adjustRightInd w:val="0"/>
        <w:ind w:left="480" w:right="0"/>
        <w:rPr>
          <w:rFonts w:eastAsiaTheme="minorHAnsi"/>
          <w:i/>
          <w:iCs/>
          <w:color w:val="000000"/>
          <w:lang w:val="es-CR" w:eastAsia="en-US"/>
        </w:rPr>
      </w:pPr>
    </w:p>
    <w:p w14:paraId="5CCB1BF1" w14:textId="77777777" w:rsidR="003274D3" w:rsidRDefault="003274D3" w:rsidP="004B595A">
      <w:pPr>
        <w:pStyle w:val="Prrafodelista"/>
        <w:autoSpaceDE w:val="0"/>
        <w:autoSpaceDN w:val="0"/>
        <w:adjustRightInd w:val="0"/>
        <w:ind w:left="480" w:right="0"/>
      </w:pPr>
    </w:p>
    <w:p w14:paraId="601F9C18" w14:textId="77777777" w:rsidR="00A65F5F" w:rsidRPr="00670E95" w:rsidRDefault="00A65F5F" w:rsidP="003274D3">
      <w:pPr>
        <w:pStyle w:val="Prrafodelista"/>
        <w:autoSpaceDE w:val="0"/>
        <w:autoSpaceDN w:val="0"/>
        <w:adjustRightInd w:val="0"/>
        <w:ind w:left="480" w:right="0"/>
      </w:pPr>
      <w:bookmarkStart w:id="888" w:name="_Toc191377600"/>
      <w:bookmarkStart w:id="889" w:name="_Toc192577347"/>
      <w:bookmarkStart w:id="890" w:name="_Toc192591221"/>
      <w:bookmarkStart w:id="891" w:name="_Toc192925729"/>
      <w:bookmarkStart w:id="892" w:name="_Toc192925816"/>
      <w:bookmarkStart w:id="893" w:name="_Toc192933471"/>
      <w:bookmarkStart w:id="894" w:name="_Toc192933702"/>
      <w:bookmarkStart w:id="895" w:name="_Toc193006283"/>
      <w:bookmarkStart w:id="896" w:name="_Toc193006374"/>
      <w:bookmarkStart w:id="897" w:name="_Toc193006464"/>
      <w:bookmarkStart w:id="898" w:name="_Toc193006554"/>
      <w:bookmarkStart w:id="899" w:name="_Toc193006644"/>
      <w:bookmarkStart w:id="900" w:name="_Toc193006734"/>
      <w:bookmarkStart w:id="901" w:name="_Toc193114026"/>
      <w:bookmarkStart w:id="902" w:name="_Toc193185670"/>
      <w:bookmarkStart w:id="903" w:name="_Toc193188557"/>
      <w:bookmarkStart w:id="904" w:name="_Toc193200009"/>
      <w:bookmarkStart w:id="905" w:name="_Toc197158871"/>
      <w:bookmarkStart w:id="906" w:name="_Toc197160134"/>
      <w:bookmarkStart w:id="907" w:name="_Toc197235599"/>
      <w:bookmarkStart w:id="908" w:name="_Toc197235937"/>
      <w:bookmarkStart w:id="909" w:name="_Toc199652818"/>
      <w:bookmarkStart w:id="910" w:name="_Toc200335815"/>
      <w:bookmarkStart w:id="911" w:name="_Toc206844773"/>
      <w:bookmarkStart w:id="912" w:name="_Toc206905636"/>
      <w:bookmarkStart w:id="913" w:name="_Toc207095738"/>
      <w:bookmarkStart w:id="914" w:name="_Toc207098124"/>
      <w:bookmarkStart w:id="915" w:name="_Toc207098317"/>
      <w:bookmarkStart w:id="916" w:name="_Toc207098512"/>
      <w:bookmarkStart w:id="917" w:name="_Toc207098612"/>
      <w:bookmarkStart w:id="918" w:name="_Toc207098711"/>
      <w:bookmarkStart w:id="919" w:name="_Toc207103372"/>
      <w:bookmarkStart w:id="920" w:name="_Toc207178757"/>
      <w:bookmarkStart w:id="921" w:name="_Toc208394638"/>
      <w:bookmarkStart w:id="922" w:name="_Toc210618849"/>
      <w:bookmarkStart w:id="923" w:name="_Toc210619131"/>
      <w:bookmarkStart w:id="924" w:name="_Toc210619356"/>
      <w:bookmarkStart w:id="925" w:name="_Toc210619863"/>
      <w:bookmarkStart w:id="926" w:name="_Toc222025424"/>
      <w:bookmarkStart w:id="927" w:name="_Toc222030360"/>
      <w:bookmarkStart w:id="928" w:name="_Toc222134991"/>
      <w:bookmarkStart w:id="929" w:name="_Toc222675412"/>
      <w:bookmarkStart w:id="930" w:name="_Toc222828380"/>
      <w:bookmarkStart w:id="931" w:name="_Toc222828477"/>
      <w:bookmarkStart w:id="932" w:name="_Toc222887690"/>
      <w:bookmarkStart w:id="933" w:name="_Toc222912158"/>
      <w:bookmarkStart w:id="934" w:name="_Toc222915217"/>
      <w:bookmarkStart w:id="935" w:name="_Toc222915311"/>
      <w:bookmarkStart w:id="936" w:name="_Toc222919693"/>
      <w:bookmarkStart w:id="937" w:name="_Toc222919787"/>
      <w:bookmarkStart w:id="938" w:name="_Toc222919882"/>
      <w:bookmarkStart w:id="939" w:name="_Toc222920185"/>
      <w:bookmarkStart w:id="940" w:name="_Toc223164539"/>
      <w:bookmarkStart w:id="941" w:name="_Toc223175972"/>
      <w:bookmarkStart w:id="942" w:name="_Toc223337098"/>
      <w:bookmarkStart w:id="943" w:name="_Toc223337191"/>
      <w:bookmarkStart w:id="944" w:name="_Toc223342184"/>
      <w:bookmarkStart w:id="945" w:name="_Toc223357550"/>
      <w:bookmarkStart w:id="946" w:name="_Toc223357641"/>
      <w:bookmarkStart w:id="947" w:name="_Toc223491415"/>
      <w:bookmarkStart w:id="948" w:name="_Toc225051345"/>
      <w:bookmarkStart w:id="949" w:name="_Toc225073435"/>
      <w:bookmarkStart w:id="950" w:name="_Toc225078383"/>
      <w:bookmarkStart w:id="951" w:name="_Toc225078474"/>
      <w:bookmarkStart w:id="952" w:name="_Toc225079315"/>
      <w:bookmarkStart w:id="953" w:name="_Toc225148941"/>
      <w:bookmarkStart w:id="954" w:name="_Toc225149032"/>
      <w:bookmarkStart w:id="955" w:name="_Toc225149123"/>
      <w:bookmarkStart w:id="956" w:name="_Toc225154691"/>
      <w:bookmarkStart w:id="957" w:name="_Toc225156205"/>
      <w:bookmarkStart w:id="958" w:name="_Toc225160874"/>
      <w:bookmarkStart w:id="959" w:name="_Toc225223114"/>
      <w:bookmarkStart w:id="960" w:name="_Toc225241355"/>
      <w:bookmarkStart w:id="961" w:name="_Toc225242740"/>
      <w:bookmarkStart w:id="962" w:name="_Toc225242832"/>
      <w:bookmarkStart w:id="963" w:name="_Toc225307338"/>
      <w:bookmarkStart w:id="964" w:name="_Toc225307430"/>
      <w:bookmarkStart w:id="965" w:name="_Toc225912334"/>
      <w:bookmarkStart w:id="966" w:name="_Toc225912442"/>
      <w:bookmarkStart w:id="967" w:name="_Toc225912534"/>
      <w:bookmarkStart w:id="968" w:name="_Toc225912658"/>
      <w:bookmarkStart w:id="969" w:name="_Toc225912750"/>
      <w:bookmarkStart w:id="970" w:name="_Toc225912842"/>
      <w:bookmarkStart w:id="971" w:name="_Toc225912934"/>
      <w:bookmarkStart w:id="972" w:name="_Toc225913026"/>
      <w:bookmarkStart w:id="973" w:name="_Toc225913188"/>
      <w:bookmarkStart w:id="974" w:name="_Toc225913289"/>
      <w:bookmarkStart w:id="975" w:name="_Toc225913509"/>
      <w:bookmarkStart w:id="976" w:name="_Toc225913715"/>
      <w:bookmarkStart w:id="977" w:name="_Toc225913811"/>
      <w:bookmarkStart w:id="978" w:name="_Toc225913907"/>
      <w:bookmarkStart w:id="979" w:name="_Toc225914003"/>
      <w:bookmarkStart w:id="980" w:name="_Toc225914099"/>
      <w:bookmarkStart w:id="981" w:name="_Toc225914226"/>
      <w:bookmarkStart w:id="982" w:name="_Toc225914322"/>
      <w:bookmarkStart w:id="983" w:name="_Toc225914596"/>
      <w:bookmarkStart w:id="984" w:name="_Toc225914692"/>
      <w:bookmarkStart w:id="985" w:name="_Toc225914788"/>
      <w:bookmarkStart w:id="986" w:name="_Toc225914885"/>
      <w:bookmarkStart w:id="987" w:name="_Toc225914982"/>
      <w:bookmarkStart w:id="988" w:name="_Toc225915080"/>
      <w:bookmarkStart w:id="989" w:name="_Toc225921448"/>
      <w:bookmarkStart w:id="990" w:name="_Toc226779632"/>
      <w:bookmarkStart w:id="991" w:name="_Toc226807204"/>
      <w:bookmarkStart w:id="992" w:name="_Toc226807320"/>
      <w:bookmarkStart w:id="993" w:name="_Toc226807434"/>
      <w:bookmarkStart w:id="994" w:name="_Toc226807545"/>
      <w:bookmarkStart w:id="995" w:name="_Toc226808433"/>
      <w:bookmarkStart w:id="996" w:name="_Toc226808544"/>
      <w:bookmarkStart w:id="997" w:name="_Toc226809058"/>
      <w:bookmarkStart w:id="998" w:name="_Toc226809168"/>
      <w:bookmarkStart w:id="999" w:name="_Toc226809279"/>
      <w:bookmarkStart w:id="1000" w:name="_Toc226809389"/>
      <w:bookmarkStart w:id="1001" w:name="_Toc226809499"/>
      <w:bookmarkStart w:id="1002" w:name="_Toc226809816"/>
      <w:bookmarkStart w:id="1003" w:name="_Toc226810063"/>
      <w:bookmarkStart w:id="1004" w:name="_Toc228013110"/>
      <w:bookmarkStart w:id="1005" w:name="_Toc228084804"/>
      <w:bookmarkStart w:id="1006" w:name="_Toc228087361"/>
      <w:bookmarkStart w:id="1007" w:name="_Toc228098600"/>
      <w:bookmarkStart w:id="1008" w:name="_Toc228696384"/>
      <w:bookmarkStart w:id="1009" w:name="_Toc229149142"/>
      <w:bookmarkStart w:id="1010" w:name="_Toc229149280"/>
      <w:bookmarkStart w:id="1011" w:name="_Toc229150100"/>
      <w:bookmarkStart w:id="1012" w:name="_Toc229150736"/>
      <w:bookmarkStart w:id="1013" w:name="_Toc231981185"/>
      <w:bookmarkStart w:id="1014" w:name="_Toc234672871"/>
      <w:bookmarkStart w:id="1015" w:name="_Toc234672981"/>
      <w:bookmarkStart w:id="1016" w:name="_Toc234673090"/>
      <w:bookmarkStart w:id="1017" w:name="_Toc234673199"/>
      <w:bookmarkStart w:id="1018" w:name="_Toc234673308"/>
      <w:bookmarkStart w:id="1019" w:name="_Toc234673527"/>
      <w:bookmarkStart w:id="1020" w:name="_Toc234673636"/>
      <w:bookmarkStart w:id="1021" w:name="_Toc234744050"/>
      <w:bookmarkStart w:id="1022" w:name="_Toc234744264"/>
      <w:bookmarkStart w:id="1023" w:name="_Toc234750694"/>
      <w:bookmarkStart w:id="1024" w:name="_Toc234750806"/>
      <w:bookmarkStart w:id="1025" w:name="_Toc234923898"/>
      <w:bookmarkStart w:id="1026" w:name="_Toc234925814"/>
      <w:bookmarkStart w:id="1027" w:name="_Toc235615245"/>
      <w:bookmarkStart w:id="1028" w:name="_Toc235616733"/>
      <w:bookmarkStart w:id="1029" w:name="_Toc235856991"/>
      <w:bookmarkStart w:id="1030" w:name="_Toc237334689"/>
      <w:bookmarkStart w:id="1031" w:name="_Toc237919642"/>
      <w:bookmarkStart w:id="1032" w:name="_Toc238276566"/>
      <w:bookmarkStart w:id="1033" w:name="_Toc238869509"/>
      <w:bookmarkStart w:id="1034" w:name="_Toc238873062"/>
      <w:bookmarkStart w:id="1035" w:name="_Toc238873435"/>
      <w:bookmarkStart w:id="1036" w:name="_Toc238876972"/>
      <w:bookmarkStart w:id="1037" w:name="_Toc240107340"/>
      <w:bookmarkStart w:id="1038" w:name="_Toc240159571"/>
      <w:bookmarkStart w:id="1039" w:name="_Toc240159723"/>
      <w:bookmarkStart w:id="1040" w:name="_Toc240255761"/>
      <w:bookmarkStart w:id="1041" w:name="_Toc240267665"/>
      <w:bookmarkStart w:id="1042" w:name="_Toc240267776"/>
      <w:bookmarkStart w:id="1043" w:name="_Toc240268169"/>
      <w:bookmarkStart w:id="1044" w:name="_Toc240268424"/>
      <w:bookmarkStart w:id="1045" w:name="_Toc240268537"/>
      <w:bookmarkStart w:id="1046" w:name="_Toc240268648"/>
      <w:bookmarkStart w:id="1047" w:name="_Toc240454239"/>
      <w:bookmarkStart w:id="1048" w:name="_Toc240697924"/>
      <w:bookmarkStart w:id="1049" w:name="_Toc258937726"/>
      <w:bookmarkStart w:id="1050" w:name="_Toc261418366"/>
      <w:bookmarkStart w:id="1051" w:name="_Toc261458550"/>
      <w:bookmarkStart w:id="1052" w:name="_Toc261458938"/>
      <w:bookmarkStart w:id="1053" w:name="_Toc262203260"/>
      <w:bookmarkStart w:id="1054" w:name="_Toc262218597"/>
      <w:bookmarkStart w:id="1055" w:name="_Toc262319053"/>
      <w:bookmarkStart w:id="1056" w:name="_Toc262458947"/>
      <w:bookmarkStart w:id="1057" w:name="_Toc262459801"/>
      <w:bookmarkStart w:id="1058" w:name="_Toc262460212"/>
      <w:bookmarkStart w:id="1059" w:name="_Toc262460339"/>
      <w:bookmarkStart w:id="1060" w:name="_Toc262460466"/>
      <w:bookmarkStart w:id="1061" w:name="_Toc304737185"/>
      <w:bookmarkStart w:id="1062" w:name="_Toc343676020"/>
      <w:bookmarkStart w:id="1063" w:name="_Toc358619383"/>
      <w:bookmarkStart w:id="1064" w:name="_Toc358620648"/>
      <w:bookmarkStart w:id="1065" w:name="_Toc358621855"/>
      <w:bookmarkStart w:id="1066" w:name="_Toc358622832"/>
      <w:bookmarkStart w:id="1067" w:name="_Toc26357126"/>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670E95">
        <w:t xml:space="preserve">Índices </w:t>
      </w:r>
      <w:r w:rsidRPr="00D247D9">
        <w:t>de liquide</w:t>
      </w:r>
      <w:r>
        <w:t>z</w:t>
      </w:r>
      <w:bookmarkEnd w:id="1061"/>
      <w:bookmarkEnd w:id="1062"/>
      <w:bookmarkEnd w:id="1063"/>
      <w:bookmarkEnd w:id="1064"/>
      <w:bookmarkEnd w:id="1065"/>
      <w:bookmarkEnd w:id="1066"/>
      <w:r>
        <w:t xml:space="preserve"> </w:t>
      </w:r>
      <w:r w:rsidR="00B15B83">
        <w:t>(en millones de colones)</w:t>
      </w:r>
      <w:bookmarkEnd w:id="1067"/>
    </w:p>
    <w:p w14:paraId="37B431BE" w14:textId="77777777" w:rsidR="00A65F5F" w:rsidRPr="00BA5628" w:rsidRDefault="00A65F5F" w:rsidP="00A65F5F">
      <w:pPr>
        <w:pStyle w:val="Ttulo4"/>
      </w:pPr>
      <w:r w:rsidRPr="00FA1F00">
        <w:t>2.3.1.1 Razón circulante (Veces)</w:t>
      </w:r>
    </w:p>
    <w:p w14:paraId="16E50484" w14:textId="77777777" w:rsidR="00A65F5F" w:rsidRDefault="00A65F5F" w:rsidP="00A65F5F">
      <w:pPr>
        <w:ind w:left="-540" w:right="-25"/>
      </w:pPr>
    </w:p>
    <w:p w14:paraId="6AEB0229" w14:textId="77777777" w:rsidR="00A65F5F" w:rsidRPr="00670E95" w:rsidRDefault="00A65F5F" w:rsidP="00A65F5F">
      <w:pPr>
        <w:ind w:left="-540" w:right="-25"/>
      </w:pPr>
      <w:r w:rsidRPr="00C975C5">
        <w:t>Medida clave de liquidez a corto plazo de la empresa, debido a que tanto el activo corriente como el pasivo corriente tienen una duración comparable. El resultado obtenido representa el número de veces en el cual los derechos de  los acreedores a corto plazo se encuentran cubiertos por activos que se esperan se hagan efectivos en un período más o menos igual al vencimiento de las obligaciones</w:t>
      </w:r>
      <w:r w:rsidRPr="00670E95">
        <w:t>:</w:t>
      </w:r>
    </w:p>
    <w:p w14:paraId="54BEC04D" w14:textId="77777777" w:rsidR="00A65F5F" w:rsidRDefault="00A65F5F" w:rsidP="00A65F5F">
      <w:pPr>
        <w:ind w:left="-540" w:right="-25"/>
      </w:pPr>
    </w:p>
    <w:p w14:paraId="29C53CE6" w14:textId="4CE70B20" w:rsidR="00B131AE" w:rsidRDefault="00B131AE" w:rsidP="00A65F5F">
      <w:pPr>
        <w:pStyle w:val="Prrafodelista"/>
        <w:ind w:left="-567" w:right="-25"/>
        <w:jc w:val="center"/>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900612" w:rsidRPr="00900612" w14:paraId="251B2655" w14:textId="77777777" w:rsidTr="00900612">
        <w:trPr>
          <w:trHeight w:val="310"/>
          <w:jc w:val="center"/>
        </w:trPr>
        <w:tc>
          <w:tcPr>
            <w:tcW w:w="4496" w:type="dxa"/>
            <w:tcBorders>
              <w:top w:val="nil"/>
              <w:left w:val="nil"/>
              <w:bottom w:val="nil"/>
              <w:right w:val="nil"/>
            </w:tcBorders>
            <w:shd w:val="clear" w:color="000000" w:fill="333F4F"/>
            <w:noWrap/>
            <w:vAlign w:val="bottom"/>
            <w:hideMark/>
          </w:tcPr>
          <w:p w14:paraId="2313D521" w14:textId="77777777" w:rsidR="00900612" w:rsidRPr="00900612" w:rsidRDefault="00900612" w:rsidP="00900612">
            <w:pPr>
              <w:ind w:right="0"/>
              <w:jc w:val="left"/>
              <w:rPr>
                <w:rFonts w:ascii="Calibri" w:hAnsi="Calibri" w:cs="Calibri"/>
                <w:color w:val="000000"/>
                <w:sz w:val="22"/>
                <w:szCs w:val="22"/>
                <w:lang w:val="es-419" w:eastAsia="es-419"/>
              </w:rPr>
            </w:pPr>
            <w:r w:rsidRPr="00900612">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4AE410BB" w14:textId="77777777" w:rsidR="00900612" w:rsidRPr="00900612" w:rsidRDefault="00900612" w:rsidP="00900612">
            <w:pPr>
              <w:ind w:right="0"/>
              <w:jc w:val="center"/>
              <w:rPr>
                <w:b/>
                <w:bCs/>
                <w:color w:val="FFFFFF"/>
                <w:lang w:val="es-419" w:eastAsia="es-419"/>
              </w:rPr>
            </w:pPr>
            <w:r w:rsidRPr="00900612">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2A62A330" w14:textId="77777777" w:rsidR="00900612" w:rsidRPr="00900612" w:rsidRDefault="00900612" w:rsidP="00900612">
            <w:pPr>
              <w:ind w:right="0"/>
              <w:jc w:val="center"/>
              <w:rPr>
                <w:b/>
                <w:bCs/>
                <w:color w:val="FFFFFF"/>
                <w:lang w:val="es-419" w:eastAsia="es-419"/>
              </w:rPr>
            </w:pPr>
            <w:r w:rsidRPr="00900612">
              <w:rPr>
                <w:b/>
                <w:bCs/>
                <w:color w:val="FFFFFF"/>
                <w:lang w:val="es-419" w:eastAsia="es-419"/>
              </w:rPr>
              <w:t>dic-22</w:t>
            </w:r>
          </w:p>
        </w:tc>
      </w:tr>
      <w:tr w:rsidR="00900612" w:rsidRPr="00900612" w14:paraId="4F462F07" w14:textId="77777777" w:rsidTr="00900612">
        <w:trPr>
          <w:trHeight w:val="643"/>
          <w:jc w:val="center"/>
        </w:trPr>
        <w:tc>
          <w:tcPr>
            <w:tcW w:w="4496" w:type="dxa"/>
            <w:tcBorders>
              <w:top w:val="nil"/>
              <w:left w:val="nil"/>
              <w:bottom w:val="single" w:sz="4" w:space="0" w:color="auto"/>
              <w:right w:val="nil"/>
            </w:tcBorders>
            <w:shd w:val="clear" w:color="auto" w:fill="auto"/>
            <w:vAlign w:val="bottom"/>
            <w:hideMark/>
          </w:tcPr>
          <w:p w14:paraId="1D9A3FB5" w14:textId="77777777" w:rsidR="00900612" w:rsidRPr="00900612" w:rsidRDefault="00900612" w:rsidP="00900612">
            <w:pPr>
              <w:ind w:right="0"/>
              <w:jc w:val="left"/>
              <w:rPr>
                <w:b/>
                <w:bCs/>
                <w:color w:val="000000"/>
                <w:lang w:val="es-419" w:eastAsia="es-419"/>
              </w:rPr>
            </w:pPr>
            <w:r w:rsidRPr="00900612">
              <w:rPr>
                <w:b/>
                <w:bCs/>
                <w:color w:val="000000"/>
                <w:lang w:val="es-419" w:eastAsia="es-419"/>
              </w:rPr>
              <w:t>Activo Circulante a Pasivo Circulante (a/b)</w:t>
            </w:r>
          </w:p>
        </w:tc>
        <w:tc>
          <w:tcPr>
            <w:tcW w:w="1476" w:type="dxa"/>
            <w:tcBorders>
              <w:top w:val="nil"/>
              <w:left w:val="single" w:sz="4" w:space="0" w:color="auto"/>
              <w:bottom w:val="single" w:sz="4" w:space="0" w:color="auto"/>
              <w:right w:val="nil"/>
            </w:tcBorders>
            <w:shd w:val="clear" w:color="auto" w:fill="auto"/>
            <w:noWrap/>
            <w:vAlign w:val="center"/>
            <w:hideMark/>
          </w:tcPr>
          <w:p w14:paraId="418AB867" w14:textId="77777777" w:rsidR="00900612" w:rsidRPr="00900612" w:rsidRDefault="00900612" w:rsidP="00900612">
            <w:pPr>
              <w:ind w:right="0"/>
              <w:jc w:val="center"/>
              <w:rPr>
                <w:b/>
                <w:bCs/>
                <w:color w:val="000000"/>
                <w:sz w:val="20"/>
                <w:szCs w:val="20"/>
                <w:lang w:val="es-419" w:eastAsia="es-419"/>
              </w:rPr>
            </w:pPr>
            <w:r w:rsidRPr="00900612">
              <w:rPr>
                <w:b/>
                <w:bCs/>
                <w:color w:val="000000"/>
                <w:sz w:val="20"/>
                <w:szCs w:val="20"/>
                <w:lang w:val="es-419" w:eastAsia="es-419"/>
              </w:rPr>
              <w:t xml:space="preserve">                   1,65 </w:t>
            </w:r>
          </w:p>
        </w:tc>
        <w:tc>
          <w:tcPr>
            <w:tcW w:w="1476" w:type="dxa"/>
            <w:tcBorders>
              <w:top w:val="nil"/>
              <w:left w:val="single" w:sz="4" w:space="0" w:color="auto"/>
              <w:bottom w:val="single" w:sz="4" w:space="0" w:color="auto"/>
              <w:right w:val="nil"/>
            </w:tcBorders>
            <w:shd w:val="clear" w:color="auto" w:fill="auto"/>
            <w:noWrap/>
            <w:vAlign w:val="center"/>
            <w:hideMark/>
          </w:tcPr>
          <w:p w14:paraId="01D1235C" w14:textId="77777777" w:rsidR="00900612" w:rsidRPr="00900612" w:rsidRDefault="00900612" w:rsidP="00900612">
            <w:pPr>
              <w:ind w:right="0"/>
              <w:jc w:val="center"/>
              <w:rPr>
                <w:b/>
                <w:bCs/>
                <w:color w:val="000000"/>
                <w:sz w:val="20"/>
                <w:szCs w:val="20"/>
                <w:lang w:val="es-419" w:eastAsia="es-419"/>
              </w:rPr>
            </w:pPr>
            <w:r w:rsidRPr="00900612">
              <w:rPr>
                <w:b/>
                <w:bCs/>
                <w:color w:val="000000"/>
                <w:sz w:val="20"/>
                <w:szCs w:val="20"/>
                <w:lang w:val="es-419" w:eastAsia="es-419"/>
              </w:rPr>
              <w:t xml:space="preserve">                   1,72 </w:t>
            </w:r>
          </w:p>
        </w:tc>
      </w:tr>
      <w:tr w:rsidR="00900612" w:rsidRPr="00900612" w14:paraId="26E084EC" w14:textId="77777777" w:rsidTr="00900612">
        <w:trPr>
          <w:trHeight w:val="290"/>
          <w:jc w:val="center"/>
        </w:trPr>
        <w:tc>
          <w:tcPr>
            <w:tcW w:w="4496" w:type="dxa"/>
            <w:tcBorders>
              <w:top w:val="nil"/>
              <w:left w:val="nil"/>
              <w:bottom w:val="dashed" w:sz="4" w:space="0" w:color="auto"/>
              <w:right w:val="nil"/>
            </w:tcBorders>
            <w:shd w:val="clear" w:color="auto" w:fill="auto"/>
            <w:noWrap/>
            <w:vAlign w:val="bottom"/>
            <w:hideMark/>
          </w:tcPr>
          <w:p w14:paraId="5286F8A2"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a) Activo Circulante</w:t>
            </w:r>
          </w:p>
        </w:tc>
        <w:tc>
          <w:tcPr>
            <w:tcW w:w="1476" w:type="dxa"/>
            <w:tcBorders>
              <w:top w:val="nil"/>
              <w:left w:val="single" w:sz="4" w:space="0" w:color="auto"/>
              <w:bottom w:val="dotted" w:sz="4" w:space="0" w:color="auto"/>
              <w:right w:val="nil"/>
            </w:tcBorders>
            <w:shd w:val="clear" w:color="000000" w:fill="FFFFFF"/>
            <w:noWrap/>
            <w:vAlign w:val="bottom"/>
            <w:hideMark/>
          </w:tcPr>
          <w:p w14:paraId="1EFD4E92"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 xml:space="preserve">             820 226 </w:t>
            </w:r>
          </w:p>
        </w:tc>
        <w:tc>
          <w:tcPr>
            <w:tcW w:w="1476" w:type="dxa"/>
            <w:tcBorders>
              <w:top w:val="nil"/>
              <w:left w:val="single" w:sz="4" w:space="0" w:color="auto"/>
              <w:bottom w:val="dotted" w:sz="4" w:space="0" w:color="auto"/>
              <w:right w:val="nil"/>
            </w:tcBorders>
            <w:shd w:val="clear" w:color="000000" w:fill="FFFFFF"/>
            <w:noWrap/>
            <w:vAlign w:val="bottom"/>
            <w:hideMark/>
          </w:tcPr>
          <w:p w14:paraId="76BC0A35"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 xml:space="preserve">             832 276 </w:t>
            </w:r>
          </w:p>
        </w:tc>
      </w:tr>
      <w:tr w:rsidR="00900612" w:rsidRPr="00900612" w14:paraId="5789DED5" w14:textId="77777777" w:rsidTr="00900612">
        <w:trPr>
          <w:trHeight w:val="300"/>
          <w:jc w:val="center"/>
        </w:trPr>
        <w:tc>
          <w:tcPr>
            <w:tcW w:w="4496" w:type="dxa"/>
            <w:tcBorders>
              <w:top w:val="nil"/>
              <w:left w:val="nil"/>
              <w:bottom w:val="double" w:sz="6" w:space="0" w:color="auto"/>
              <w:right w:val="nil"/>
            </w:tcBorders>
            <w:shd w:val="clear" w:color="auto" w:fill="auto"/>
            <w:noWrap/>
            <w:vAlign w:val="bottom"/>
            <w:hideMark/>
          </w:tcPr>
          <w:p w14:paraId="0E581A58"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b) Pasivo Circulante</w:t>
            </w:r>
          </w:p>
        </w:tc>
        <w:tc>
          <w:tcPr>
            <w:tcW w:w="1476" w:type="dxa"/>
            <w:tcBorders>
              <w:top w:val="nil"/>
              <w:left w:val="single" w:sz="4" w:space="0" w:color="auto"/>
              <w:bottom w:val="double" w:sz="6" w:space="0" w:color="auto"/>
              <w:right w:val="nil"/>
            </w:tcBorders>
            <w:shd w:val="clear" w:color="000000" w:fill="FFFFFF"/>
            <w:noWrap/>
            <w:vAlign w:val="bottom"/>
            <w:hideMark/>
          </w:tcPr>
          <w:p w14:paraId="64F755D1"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 xml:space="preserve">             496 075 </w:t>
            </w:r>
          </w:p>
        </w:tc>
        <w:tc>
          <w:tcPr>
            <w:tcW w:w="1476" w:type="dxa"/>
            <w:tcBorders>
              <w:top w:val="nil"/>
              <w:left w:val="single" w:sz="4" w:space="0" w:color="auto"/>
              <w:bottom w:val="double" w:sz="6" w:space="0" w:color="auto"/>
              <w:right w:val="nil"/>
            </w:tcBorders>
            <w:shd w:val="clear" w:color="000000" w:fill="FFFFFF"/>
            <w:noWrap/>
            <w:vAlign w:val="bottom"/>
            <w:hideMark/>
          </w:tcPr>
          <w:p w14:paraId="7FA42770" w14:textId="77777777" w:rsidR="00900612" w:rsidRPr="00900612" w:rsidRDefault="00900612" w:rsidP="00900612">
            <w:pPr>
              <w:ind w:right="0"/>
              <w:jc w:val="left"/>
              <w:rPr>
                <w:color w:val="000000"/>
                <w:sz w:val="20"/>
                <w:szCs w:val="20"/>
                <w:lang w:val="es-419" w:eastAsia="es-419"/>
              </w:rPr>
            </w:pPr>
            <w:r w:rsidRPr="00900612">
              <w:rPr>
                <w:color w:val="000000"/>
                <w:sz w:val="20"/>
                <w:szCs w:val="20"/>
                <w:lang w:val="es-419" w:eastAsia="es-419"/>
              </w:rPr>
              <w:t xml:space="preserve">             482 512 </w:t>
            </w:r>
          </w:p>
        </w:tc>
      </w:tr>
    </w:tbl>
    <w:p w14:paraId="56A2B9D1" w14:textId="77777777" w:rsidR="00D7382A" w:rsidRDefault="00D7382A" w:rsidP="00A65F5F">
      <w:pPr>
        <w:pStyle w:val="Prrafodelista"/>
        <w:ind w:left="-567" w:right="-25"/>
        <w:jc w:val="center"/>
      </w:pPr>
    </w:p>
    <w:p w14:paraId="4A24E7A9" w14:textId="77777777" w:rsidR="006B309A" w:rsidRDefault="006B309A" w:rsidP="00A65F5F">
      <w:pPr>
        <w:pStyle w:val="Prrafodelista"/>
        <w:ind w:left="-567" w:right="-25"/>
      </w:pPr>
    </w:p>
    <w:p w14:paraId="06699AF0" w14:textId="77777777" w:rsidR="00C838D7" w:rsidRDefault="00C838D7" w:rsidP="00C838D7">
      <w:pPr>
        <w:pStyle w:val="Prrafodelista"/>
        <w:ind w:left="-567" w:right="-25"/>
      </w:pPr>
      <w:r w:rsidRPr="00D75232">
        <w:t>Al 31 de diciembre de 2022, se  presenta un aumento de 0,07 pp  en este indicador, como resultado   del incremento en algunas partidas del activo circulante, tales como inversiones en instrumentos financieros producto de la inversión de los excedentes generados del flujo de caja; en inventarios principalmente por la adquisición de terminales móviles y accesorios para comercialización;  efectos y otras cuentas por cobrar en la partida de anticipos realizados por la demora en la entrega de combustible por parte de RECOPE.</w:t>
      </w:r>
    </w:p>
    <w:p w14:paraId="1C6999AB" w14:textId="77777777" w:rsidR="00C838D7" w:rsidRPr="00D75232" w:rsidRDefault="00C838D7" w:rsidP="00C838D7">
      <w:pPr>
        <w:pStyle w:val="Prrafodelista"/>
        <w:ind w:left="-567" w:right="-25"/>
      </w:pPr>
    </w:p>
    <w:p w14:paraId="1A38FC9B" w14:textId="77777777" w:rsidR="00C838D7" w:rsidRPr="00D75232" w:rsidRDefault="00C838D7" w:rsidP="00C838D7">
      <w:pPr>
        <w:pStyle w:val="Prrafodelista"/>
        <w:ind w:left="-567" w:right="-25"/>
      </w:pPr>
      <w:r w:rsidRPr="00D75232">
        <w:t>Por otra parte, los pasivos corrientes presentaron una disminución, debido principalmente a la amortización de bonos de titularización de la Planta Térmica Garabito; en préstamos por pagar por amortización para las entidades BCIE, JICA, BID, BNCR, BCR, BPDC, CAF y BEI, así como realización de los ingresos asociados a repuestos de la Planta Térmica Garabito</w:t>
      </w:r>
      <w:r w:rsidRPr="00D75232" w:rsidDel="00FE7288">
        <w:t xml:space="preserve"> </w:t>
      </w:r>
      <w:r w:rsidRPr="00D75232">
        <w:t>y menor compra de energía a generadores privados.</w:t>
      </w:r>
    </w:p>
    <w:p w14:paraId="173F84BA" w14:textId="77777777" w:rsidR="00C838D7" w:rsidRPr="00D75232" w:rsidRDefault="00C838D7" w:rsidP="00C838D7">
      <w:pPr>
        <w:pStyle w:val="Prrafodelista"/>
        <w:ind w:left="-567" w:right="-25"/>
      </w:pPr>
    </w:p>
    <w:p w14:paraId="7AD392CE" w14:textId="77777777" w:rsidR="00C838D7" w:rsidRPr="00D75232" w:rsidRDefault="00C838D7" w:rsidP="00C838D7">
      <w:pPr>
        <w:pStyle w:val="Prrafodelista"/>
        <w:ind w:left="-567" w:right="-25"/>
      </w:pPr>
      <w:r w:rsidRPr="00D75232">
        <w:t>Lo anterior demuestra que el Grupo ICE cuenta con los recursos líquidos necesarios para cumplir a cabalidad con las obligaciones de corto plazo.</w:t>
      </w:r>
    </w:p>
    <w:p w14:paraId="4F475297" w14:textId="77777777" w:rsidR="00C838D7" w:rsidRDefault="00C838D7" w:rsidP="00A65F5F">
      <w:pPr>
        <w:pStyle w:val="Prrafodelista"/>
        <w:ind w:left="-567" w:right="-25"/>
      </w:pPr>
    </w:p>
    <w:p w14:paraId="713183DE" w14:textId="77777777" w:rsidR="00A65F5F" w:rsidRPr="00670E95" w:rsidRDefault="00A65F5F" w:rsidP="00A65F5F">
      <w:pPr>
        <w:pStyle w:val="Prrafodelista"/>
        <w:ind w:left="-567" w:right="-25"/>
      </w:pPr>
    </w:p>
    <w:p w14:paraId="139CDA48" w14:textId="77777777" w:rsidR="00A65F5F" w:rsidRPr="00BA5628" w:rsidRDefault="00A65F5F" w:rsidP="00A65F5F">
      <w:pPr>
        <w:pStyle w:val="Ttulo4"/>
      </w:pPr>
      <w:r w:rsidRPr="00FA1F00">
        <w:t>2.3.1.2 Prueba ácida (Veces)</w:t>
      </w:r>
    </w:p>
    <w:p w14:paraId="036EAEBD" w14:textId="77777777" w:rsidR="00A65F5F" w:rsidRDefault="00A65F5F" w:rsidP="00A65F5F">
      <w:pPr>
        <w:ind w:left="-540" w:right="-25"/>
      </w:pPr>
    </w:p>
    <w:p w14:paraId="48322D13" w14:textId="46D169D5" w:rsidR="00A65F5F" w:rsidRDefault="00A65F5F" w:rsidP="00A65F5F">
      <w:pPr>
        <w:ind w:left="-540" w:right="-25"/>
      </w:pPr>
      <w:r w:rsidRPr="00D84B51">
        <w:t xml:space="preserve">El </w:t>
      </w:r>
      <w:r>
        <w:t>i</w:t>
      </w:r>
      <w:r w:rsidRPr="00D84B51">
        <w:t xml:space="preserve">ndicador de Prueba Ácida es </w:t>
      </w:r>
      <w:r w:rsidR="00374E56">
        <w:t>similar</w:t>
      </w:r>
      <w:r w:rsidR="00374E56" w:rsidRPr="00D84B51">
        <w:t xml:space="preserve"> </w:t>
      </w:r>
      <w:r w:rsidR="00374E56">
        <w:t>a</w:t>
      </w:r>
      <w:r w:rsidR="00374E56" w:rsidRPr="00D84B51">
        <w:t xml:space="preserve">l </w:t>
      </w:r>
      <w:r w:rsidRPr="00D84B51">
        <w:t>indicador anterior pero excluye los inventarios de los Activos Circulantes, ya que son los activos menos líquidos. El resultado obtenido representa el número de veces en el cual la empresa tiene capacidad para saldar sus obligaciones a corto plazo con sus activos de esta naturaleza, sin tomar en consideración los inventarios</w:t>
      </w:r>
      <w:r>
        <w:t>.</w:t>
      </w:r>
    </w:p>
    <w:p w14:paraId="6AD5F814" w14:textId="77777777" w:rsidR="0020490F" w:rsidRDefault="0020490F" w:rsidP="00A65F5F">
      <w:pPr>
        <w:ind w:left="-540" w:right="-25"/>
      </w:pPr>
    </w:p>
    <w:p w14:paraId="21D8C9E3" w14:textId="77777777" w:rsidR="00D7382A" w:rsidRDefault="00D7382A" w:rsidP="0020490F">
      <w:pPr>
        <w:ind w:left="-540" w:right="-25"/>
        <w:jc w:val="center"/>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E05ED3" w14:paraId="11E6D7A2" w14:textId="77777777" w:rsidTr="004C0068">
        <w:trPr>
          <w:trHeight w:val="310"/>
          <w:jc w:val="center"/>
        </w:trPr>
        <w:tc>
          <w:tcPr>
            <w:tcW w:w="4496" w:type="dxa"/>
            <w:tcBorders>
              <w:top w:val="nil"/>
              <w:left w:val="nil"/>
              <w:bottom w:val="nil"/>
              <w:right w:val="nil"/>
            </w:tcBorders>
            <w:shd w:val="clear" w:color="000000" w:fill="333F4F"/>
            <w:noWrap/>
            <w:vAlign w:val="bottom"/>
            <w:hideMark/>
          </w:tcPr>
          <w:p w14:paraId="5EF701C3" w14:textId="77777777" w:rsidR="00E05ED3" w:rsidRDefault="00E05ED3">
            <w:pPr>
              <w:ind w:right="0"/>
              <w:jc w:val="left"/>
              <w:rPr>
                <w:rFonts w:ascii="Calibri" w:hAnsi="Calibri" w:cs="Calibri"/>
                <w:color w:val="000000"/>
                <w:sz w:val="22"/>
                <w:szCs w:val="22"/>
                <w:lang w:val="es-419" w:eastAsia="es-419"/>
              </w:rPr>
            </w:pPr>
            <w:r>
              <w:rPr>
                <w:rFonts w:ascii="Calibri" w:hAnsi="Calibri" w:cs="Calibri"/>
                <w:color w:val="000000"/>
                <w:sz w:val="22"/>
                <w:szCs w:val="22"/>
              </w:rPr>
              <w:t> </w:t>
            </w:r>
          </w:p>
        </w:tc>
        <w:tc>
          <w:tcPr>
            <w:tcW w:w="1476" w:type="dxa"/>
            <w:tcBorders>
              <w:top w:val="nil"/>
              <w:left w:val="nil"/>
              <w:bottom w:val="nil"/>
              <w:right w:val="nil"/>
            </w:tcBorders>
            <w:shd w:val="clear" w:color="000000" w:fill="333F4F"/>
            <w:noWrap/>
            <w:vAlign w:val="bottom"/>
            <w:hideMark/>
          </w:tcPr>
          <w:p w14:paraId="450B8D0D" w14:textId="77777777" w:rsidR="00E05ED3" w:rsidRDefault="00E05ED3">
            <w:pPr>
              <w:jc w:val="center"/>
              <w:rPr>
                <w:b/>
                <w:bCs/>
                <w:color w:val="FFFFFF"/>
              </w:rPr>
            </w:pPr>
            <w:r>
              <w:rPr>
                <w:b/>
                <w:bCs/>
                <w:color w:val="FFFFFF"/>
              </w:rPr>
              <w:t>dic-21</w:t>
            </w:r>
          </w:p>
        </w:tc>
        <w:tc>
          <w:tcPr>
            <w:tcW w:w="1476" w:type="dxa"/>
            <w:tcBorders>
              <w:top w:val="nil"/>
              <w:left w:val="nil"/>
              <w:bottom w:val="nil"/>
              <w:right w:val="nil"/>
            </w:tcBorders>
            <w:shd w:val="clear" w:color="000000" w:fill="333F4F"/>
            <w:noWrap/>
            <w:vAlign w:val="bottom"/>
            <w:hideMark/>
          </w:tcPr>
          <w:p w14:paraId="672F052F" w14:textId="77777777" w:rsidR="00E05ED3" w:rsidRDefault="00E05ED3">
            <w:pPr>
              <w:jc w:val="center"/>
              <w:rPr>
                <w:b/>
                <w:bCs/>
                <w:color w:val="FFFFFF"/>
              </w:rPr>
            </w:pPr>
            <w:r>
              <w:rPr>
                <w:b/>
                <w:bCs/>
                <w:color w:val="FFFFFF"/>
              </w:rPr>
              <w:t>dic-22</w:t>
            </w:r>
          </w:p>
        </w:tc>
      </w:tr>
      <w:tr w:rsidR="00E05ED3" w14:paraId="59DA8CC9" w14:textId="77777777" w:rsidTr="004C0068">
        <w:trPr>
          <w:trHeight w:val="610"/>
          <w:jc w:val="center"/>
        </w:trPr>
        <w:tc>
          <w:tcPr>
            <w:tcW w:w="4496" w:type="dxa"/>
            <w:tcBorders>
              <w:top w:val="nil"/>
              <w:left w:val="nil"/>
              <w:bottom w:val="single" w:sz="4" w:space="0" w:color="auto"/>
              <w:right w:val="nil"/>
            </w:tcBorders>
            <w:shd w:val="clear" w:color="auto" w:fill="auto"/>
            <w:vAlign w:val="bottom"/>
            <w:hideMark/>
          </w:tcPr>
          <w:p w14:paraId="5FEB297B" w14:textId="77777777" w:rsidR="00E05ED3" w:rsidRDefault="00E05ED3">
            <w:pPr>
              <w:jc w:val="left"/>
              <w:rPr>
                <w:b/>
                <w:bCs/>
                <w:color w:val="000000"/>
              </w:rPr>
            </w:pPr>
            <w:r>
              <w:rPr>
                <w:b/>
                <w:bCs/>
                <w:color w:val="000000"/>
              </w:rPr>
              <w:t>Activo Circulante excluidos los inventarios a Pasivo Circulante (a/b)</w:t>
            </w:r>
          </w:p>
        </w:tc>
        <w:tc>
          <w:tcPr>
            <w:tcW w:w="1476" w:type="dxa"/>
            <w:tcBorders>
              <w:top w:val="nil"/>
              <w:left w:val="single" w:sz="4" w:space="0" w:color="auto"/>
              <w:bottom w:val="single" w:sz="4" w:space="0" w:color="auto"/>
              <w:right w:val="nil"/>
            </w:tcBorders>
            <w:shd w:val="clear" w:color="auto" w:fill="auto"/>
            <w:noWrap/>
            <w:vAlign w:val="center"/>
            <w:hideMark/>
          </w:tcPr>
          <w:p w14:paraId="5BA34666" w14:textId="77777777" w:rsidR="00E05ED3" w:rsidRDefault="00E05ED3">
            <w:pPr>
              <w:jc w:val="center"/>
              <w:rPr>
                <w:b/>
                <w:bCs/>
                <w:color w:val="000000"/>
                <w:sz w:val="20"/>
                <w:szCs w:val="20"/>
              </w:rPr>
            </w:pPr>
            <w:r>
              <w:rPr>
                <w:b/>
                <w:bCs/>
                <w:color w:val="000000"/>
                <w:sz w:val="20"/>
                <w:szCs w:val="20"/>
              </w:rPr>
              <w:t xml:space="preserve">                   1,58 </w:t>
            </w:r>
          </w:p>
        </w:tc>
        <w:tc>
          <w:tcPr>
            <w:tcW w:w="1476" w:type="dxa"/>
            <w:tcBorders>
              <w:top w:val="nil"/>
              <w:left w:val="single" w:sz="4" w:space="0" w:color="auto"/>
              <w:bottom w:val="single" w:sz="4" w:space="0" w:color="auto"/>
              <w:right w:val="nil"/>
            </w:tcBorders>
            <w:shd w:val="clear" w:color="auto" w:fill="auto"/>
            <w:noWrap/>
            <w:vAlign w:val="center"/>
            <w:hideMark/>
          </w:tcPr>
          <w:p w14:paraId="21D0946B" w14:textId="77777777" w:rsidR="00E05ED3" w:rsidRDefault="00E05ED3">
            <w:pPr>
              <w:jc w:val="center"/>
              <w:rPr>
                <w:b/>
                <w:bCs/>
                <w:color w:val="000000"/>
                <w:sz w:val="20"/>
                <w:szCs w:val="20"/>
              </w:rPr>
            </w:pPr>
            <w:r>
              <w:rPr>
                <w:b/>
                <w:bCs/>
                <w:color w:val="000000"/>
                <w:sz w:val="20"/>
                <w:szCs w:val="20"/>
              </w:rPr>
              <w:t xml:space="preserve">                   1,61 </w:t>
            </w:r>
          </w:p>
        </w:tc>
      </w:tr>
      <w:tr w:rsidR="00E05ED3" w14:paraId="41468D9D" w14:textId="77777777" w:rsidTr="004C0068">
        <w:trPr>
          <w:trHeight w:val="290"/>
          <w:jc w:val="center"/>
        </w:trPr>
        <w:tc>
          <w:tcPr>
            <w:tcW w:w="4496" w:type="dxa"/>
            <w:tcBorders>
              <w:top w:val="nil"/>
              <w:left w:val="nil"/>
              <w:bottom w:val="dashed" w:sz="4" w:space="0" w:color="auto"/>
              <w:right w:val="nil"/>
            </w:tcBorders>
            <w:shd w:val="clear" w:color="auto" w:fill="auto"/>
            <w:noWrap/>
            <w:vAlign w:val="bottom"/>
            <w:hideMark/>
          </w:tcPr>
          <w:p w14:paraId="3057D289" w14:textId="77777777" w:rsidR="00E05ED3" w:rsidRDefault="00E05ED3">
            <w:pPr>
              <w:jc w:val="left"/>
              <w:rPr>
                <w:color w:val="000000"/>
                <w:sz w:val="20"/>
                <w:szCs w:val="20"/>
              </w:rPr>
            </w:pPr>
            <w:r>
              <w:rPr>
                <w:color w:val="000000"/>
                <w:sz w:val="20"/>
                <w:szCs w:val="20"/>
              </w:rPr>
              <w:t>a) Activo Circulante excluidos los inventarios</w:t>
            </w:r>
          </w:p>
        </w:tc>
        <w:tc>
          <w:tcPr>
            <w:tcW w:w="1476" w:type="dxa"/>
            <w:tcBorders>
              <w:top w:val="nil"/>
              <w:left w:val="single" w:sz="4" w:space="0" w:color="auto"/>
              <w:bottom w:val="dotted" w:sz="4" w:space="0" w:color="auto"/>
              <w:right w:val="nil"/>
            </w:tcBorders>
            <w:shd w:val="clear" w:color="000000" w:fill="FFFFFF"/>
            <w:noWrap/>
            <w:vAlign w:val="bottom"/>
            <w:hideMark/>
          </w:tcPr>
          <w:p w14:paraId="3434B19B" w14:textId="77777777" w:rsidR="00E05ED3" w:rsidRDefault="00E05ED3">
            <w:pPr>
              <w:rPr>
                <w:color w:val="000000"/>
                <w:sz w:val="20"/>
                <w:szCs w:val="20"/>
              </w:rPr>
            </w:pPr>
            <w:r>
              <w:rPr>
                <w:color w:val="000000"/>
                <w:sz w:val="20"/>
                <w:szCs w:val="20"/>
              </w:rPr>
              <w:t xml:space="preserve">             785 403 </w:t>
            </w:r>
          </w:p>
        </w:tc>
        <w:tc>
          <w:tcPr>
            <w:tcW w:w="1476" w:type="dxa"/>
            <w:tcBorders>
              <w:top w:val="nil"/>
              <w:left w:val="single" w:sz="4" w:space="0" w:color="auto"/>
              <w:bottom w:val="dotted" w:sz="4" w:space="0" w:color="auto"/>
              <w:right w:val="nil"/>
            </w:tcBorders>
            <w:shd w:val="clear" w:color="000000" w:fill="FFFFFF"/>
            <w:noWrap/>
            <w:vAlign w:val="bottom"/>
            <w:hideMark/>
          </w:tcPr>
          <w:p w14:paraId="648E46FF" w14:textId="77777777" w:rsidR="00E05ED3" w:rsidRDefault="00E05ED3">
            <w:pPr>
              <w:rPr>
                <w:color w:val="000000"/>
                <w:sz w:val="20"/>
                <w:szCs w:val="20"/>
              </w:rPr>
            </w:pPr>
            <w:r>
              <w:rPr>
                <w:color w:val="000000"/>
                <w:sz w:val="20"/>
                <w:szCs w:val="20"/>
              </w:rPr>
              <w:t xml:space="preserve">             776 897 </w:t>
            </w:r>
          </w:p>
        </w:tc>
      </w:tr>
      <w:tr w:rsidR="00E05ED3" w14:paraId="7EEE96D5" w14:textId="77777777" w:rsidTr="004C0068">
        <w:trPr>
          <w:trHeight w:val="300"/>
          <w:jc w:val="center"/>
        </w:trPr>
        <w:tc>
          <w:tcPr>
            <w:tcW w:w="4496" w:type="dxa"/>
            <w:tcBorders>
              <w:top w:val="nil"/>
              <w:left w:val="nil"/>
              <w:bottom w:val="double" w:sz="6" w:space="0" w:color="auto"/>
              <w:right w:val="nil"/>
            </w:tcBorders>
            <w:shd w:val="clear" w:color="auto" w:fill="auto"/>
            <w:noWrap/>
            <w:vAlign w:val="bottom"/>
            <w:hideMark/>
          </w:tcPr>
          <w:p w14:paraId="4AB385DE" w14:textId="77777777" w:rsidR="00E05ED3" w:rsidRDefault="00E05ED3">
            <w:pPr>
              <w:rPr>
                <w:color w:val="000000"/>
                <w:sz w:val="20"/>
                <w:szCs w:val="20"/>
              </w:rPr>
            </w:pPr>
            <w:r>
              <w:rPr>
                <w:color w:val="000000"/>
                <w:sz w:val="20"/>
                <w:szCs w:val="20"/>
              </w:rPr>
              <w:t>b) Pasivo Circulante</w:t>
            </w:r>
          </w:p>
        </w:tc>
        <w:tc>
          <w:tcPr>
            <w:tcW w:w="1476" w:type="dxa"/>
            <w:tcBorders>
              <w:top w:val="nil"/>
              <w:left w:val="single" w:sz="4" w:space="0" w:color="auto"/>
              <w:bottom w:val="double" w:sz="6" w:space="0" w:color="auto"/>
              <w:right w:val="nil"/>
            </w:tcBorders>
            <w:shd w:val="clear" w:color="000000" w:fill="FFFFFF"/>
            <w:noWrap/>
            <w:vAlign w:val="bottom"/>
            <w:hideMark/>
          </w:tcPr>
          <w:p w14:paraId="64237A93" w14:textId="77777777" w:rsidR="00E05ED3" w:rsidRDefault="00E05ED3">
            <w:pPr>
              <w:rPr>
                <w:color w:val="000000"/>
                <w:sz w:val="20"/>
                <w:szCs w:val="20"/>
              </w:rPr>
            </w:pPr>
            <w:r>
              <w:rPr>
                <w:color w:val="000000"/>
                <w:sz w:val="20"/>
                <w:szCs w:val="20"/>
              </w:rPr>
              <w:t xml:space="preserve">             496 075 </w:t>
            </w:r>
          </w:p>
        </w:tc>
        <w:tc>
          <w:tcPr>
            <w:tcW w:w="1476" w:type="dxa"/>
            <w:tcBorders>
              <w:top w:val="nil"/>
              <w:left w:val="single" w:sz="4" w:space="0" w:color="auto"/>
              <w:bottom w:val="double" w:sz="6" w:space="0" w:color="auto"/>
              <w:right w:val="nil"/>
            </w:tcBorders>
            <w:shd w:val="clear" w:color="000000" w:fill="FFFFFF"/>
            <w:noWrap/>
            <w:vAlign w:val="bottom"/>
            <w:hideMark/>
          </w:tcPr>
          <w:p w14:paraId="40224CF1" w14:textId="77777777" w:rsidR="00E05ED3" w:rsidRDefault="00E05ED3">
            <w:pPr>
              <w:rPr>
                <w:color w:val="000000"/>
                <w:sz w:val="20"/>
                <w:szCs w:val="20"/>
              </w:rPr>
            </w:pPr>
            <w:r>
              <w:rPr>
                <w:color w:val="000000"/>
                <w:sz w:val="20"/>
                <w:szCs w:val="20"/>
              </w:rPr>
              <w:t xml:space="preserve">             482 512 </w:t>
            </w:r>
          </w:p>
        </w:tc>
      </w:tr>
    </w:tbl>
    <w:p w14:paraId="2C351F32" w14:textId="4CD31007" w:rsidR="00A65F5F" w:rsidRDefault="00E97E85" w:rsidP="0020490F">
      <w:pPr>
        <w:ind w:left="-540" w:right="-25"/>
        <w:jc w:val="center"/>
        <w:rPr>
          <w:sz w:val="20"/>
          <w:szCs w:val="20"/>
        </w:rPr>
      </w:pPr>
      <w:r>
        <w:rPr>
          <w:b/>
          <w:sz w:val="20"/>
          <w:szCs w:val="20"/>
        </w:rPr>
        <w:t xml:space="preserve">                                  </w:t>
      </w:r>
      <w:r w:rsidR="00A65F5F" w:rsidRPr="00C20E95">
        <w:rPr>
          <w:b/>
          <w:sz w:val="20"/>
          <w:szCs w:val="20"/>
        </w:rPr>
        <w:t>Nota:</w:t>
      </w:r>
      <w:r w:rsidR="00A65F5F" w:rsidRPr="00C20E95">
        <w:rPr>
          <w:sz w:val="20"/>
          <w:szCs w:val="20"/>
        </w:rPr>
        <w:t xml:space="preserve"> Se utilizan los inventarios de corto plazo, para el cálculo del indicador dado que el indicador es del activo circulante.</w:t>
      </w:r>
    </w:p>
    <w:p w14:paraId="0CFA87D3" w14:textId="77777777" w:rsidR="00374E56" w:rsidRDefault="00374E56" w:rsidP="00A65F5F">
      <w:pPr>
        <w:ind w:left="-240" w:right="-25"/>
        <w:rPr>
          <w:sz w:val="20"/>
          <w:szCs w:val="20"/>
        </w:rPr>
      </w:pPr>
    </w:p>
    <w:p w14:paraId="01D2C07A" w14:textId="77777777" w:rsidR="00DF6D60" w:rsidRPr="00D75232" w:rsidRDefault="00DF6D60" w:rsidP="00DF6D60">
      <w:pPr>
        <w:ind w:left="-540" w:right="-25"/>
      </w:pPr>
      <w:r w:rsidRPr="00D75232">
        <w:t>Al 31 de diciembre de 2022, el Grupo ICE mantiene una razón de liquidez adecuada para su negocio.  Esta razón financiera se mantiene con valores cercanos a 2pp, lo que denota estabilidad debido a que ese valor expresa el grado de cobertura y respaldo que brindan los activos más líquidos a las obligaciones de corto plazo.</w:t>
      </w:r>
    </w:p>
    <w:p w14:paraId="6F5D19A6" w14:textId="77777777" w:rsidR="00A65F5F" w:rsidRPr="00670E95" w:rsidRDefault="00A65F5F" w:rsidP="00A65F5F">
      <w:pPr>
        <w:ind w:left="-540" w:right="-25"/>
      </w:pPr>
    </w:p>
    <w:p w14:paraId="61ADD6B6" w14:textId="569596B8" w:rsidR="00A65F5F" w:rsidRPr="00670E95" w:rsidRDefault="00A65F5F" w:rsidP="00EF0D70">
      <w:pPr>
        <w:pStyle w:val="Ttulo3"/>
        <w:numPr>
          <w:ilvl w:val="2"/>
          <w:numId w:val="22"/>
        </w:numPr>
        <w:ind w:left="-567" w:firstLine="0"/>
      </w:pPr>
      <w:bookmarkStart w:id="1068" w:name="_Toc304737186"/>
      <w:bookmarkStart w:id="1069" w:name="_Toc343676021"/>
      <w:bookmarkStart w:id="1070" w:name="_Toc358619384"/>
      <w:bookmarkStart w:id="1071" w:name="_Toc358620649"/>
      <w:bookmarkStart w:id="1072" w:name="_Toc358621856"/>
      <w:bookmarkStart w:id="1073" w:name="_Toc358622833"/>
      <w:bookmarkStart w:id="1074" w:name="_Toc26357127"/>
      <w:bookmarkStart w:id="1075" w:name="_Toc138664916"/>
      <w:r w:rsidRPr="00670E95">
        <w:t xml:space="preserve">Índices </w:t>
      </w:r>
      <w:r w:rsidRPr="00D72241">
        <w:t>de rentabilidad</w:t>
      </w:r>
      <w:bookmarkEnd w:id="1068"/>
      <w:bookmarkEnd w:id="1069"/>
      <w:bookmarkEnd w:id="1070"/>
      <w:bookmarkEnd w:id="1071"/>
      <w:bookmarkEnd w:id="1072"/>
      <w:bookmarkEnd w:id="1073"/>
      <w:bookmarkEnd w:id="1074"/>
      <w:r w:rsidR="0020490F">
        <w:t xml:space="preserve"> (en millones de colones)</w:t>
      </w:r>
      <w:bookmarkEnd w:id="1075"/>
    </w:p>
    <w:p w14:paraId="6512FA21" w14:textId="77777777" w:rsidR="00A65F5F" w:rsidRDefault="00A65F5F" w:rsidP="00A65F5F">
      <w:pPr>
        <w:pStyle w:val="Ttulo4"/>
        <w:numPr>
          <w:ilvl w:val="3"/>
          <w:numId w:val="19"/>
        </w:numPr>
        <w:ind w:left="0" w:firstLine="0"/>
      </w:pPr>
      <w:r>
        <w:t xml:space="preserve"> </w:t>
      </w:r>
      <w:r w:rsidRPr="00FA1F00">
        <w:t>Rendimiento sobre activos (Porcentajes)</w:t>
      </w:r>
    </w:p>
    <w:p w14:paraId="2412A10D" w14:textId="77777777" w:rsidR="00A65F5F" w:rsidRDefault="00A65F5F" w:rsidP="00A65F5F">
      <w:pPr>
        <w:ind w:left="-540" w:right="-25"/>
      </w:pPr>
    </w:p>
    <w:p w14:paraId="79B93A20" w14:textId="77777777" w:rsidR="00A65F5F" w:rsidRDefault="00A65F5F" w:rsidP="00A65F5F">
      <w:pPr>
        <w:ind w:left="-540" w:right="-25"/>
      </w:pPr>
      <w:r w:rsidRPr="00466B6F">
        <w:t>Indica el monto de ganancias que una empresa puede generar por cada colón de activo invertido, se calcula divid</w:t>
      </w:r>
      <w:r>
        <w:t>i</w:t>
      </w:r>
      <w:r w:rsidRPr="00466B6F">
        <w:t>endo la Utilidad Neta entre el Activo Total Promedio.</w:t>
      </w:r>
      <w:r>
        <w:t xml:space="preserve"> </w:t>
      </w:r>
    </w:p>
    <w:p w14:paraId="51F7C5A0" w14:textId="77777777" w:rsidR="004F5C17" w:rsidRDefault="004F5C17" w:rsidP="00A65F5F">
      <w:pPr>
        <w:ind w:left="-540" w:right="-25"/>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D85199" w:rsidRPr="00D85199" w14:paraId="2F27BE32" w14:textId="77777777" w:rsidTr="00D85199">
        <w:trPr>
          <w:trHeight w:val="310"/>
          <w:jc w:val="center"/>
        </w:trPr>
        <w:tc>
          <w:tcPr>
            <w:tcW w:w="4496" w:type="dxa"/>
            <w:tcBorders>
              <w:top w:val="nil"/>
              <w:left w:val="nil"/>
              <w:bottom w:val="nil"/>
              <w:right w:val="nil"/>
            </w:tcBorders>
            <w:shd w:val="clear" w:color="000000" w:fill="333F4F"/>
            <w:noWrap/>
            <w:vAlign w:val="bottom"/>
            <w:hideMark/>
          </w:tcPr>
          <w:p w14:paraId="2ED78007" w14:textId="77777777" w:rsidR="00D85199" w:rsidRPr="00D85199" w:rsidRDefault="00D85199" w:rsidP="00D85199">
            <w:pPr>
              <w:ind w:right="0"/>
              <w:jc w:val="left"/>
              <w:rPr>
                <w:rFonts w:ascii="Calibri" w:hAnsi="Calibri" w:cs="Calibri"/>
                <w:color w:val="000000"/>
                <w:sz w:val="22"/>
                <w:szCs w:val="22"/>
                <w:lang w:val="es-419" w:eastAsia="es-419"/>
              </w:rPr>
            </w:pPr>
            <w:r w:rsidRPr="00D85199">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1C576363" w14:textId="77777777" w:rsidR="00D85199" w:rsidRPr="00D85199" w:rsidRDefault="00D85199" w:rsidP="00D85199">
            <w:pPr>
              <w:ind w:right="0"/>
              <w:jc w:val="center"/>
              <w:rPr>
                <w:b/>
                <w:bCs/>
                <w:color w:val="FFFFFF"/>
                <w:lang w:val="es-419" w:eastAsia="es-419"/>
              </w:rPr>
            </w:pPr>
            <w:r w:rsidRPr="00D85199">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5F8C9472" w14:textId="77777777" w:rsidR="00D85199" w:rsidRPr="00D85199" w:rsidRDefault="00D85199" w:rsidP="00D85199">
            <w:pPr>
              <w:ind w:right="0"/>
              <w:jc w:val="center"/>
              <w:rPr>
                <w:b/>
                <w:bCs/>
                <w:color w:val="FFFFFF"/>
                <w:lang w:val="es-419" w:eastAsia="es-419"/>
              </w:rPr>
            </w:pPr>
            <w:r w:rsidRPr="00D85199">
              <w:rPr>
                <w:b/>
                <w:bCs/>
                <w:color w:val="FFFFFF"/>
                <w:lang w:val="es-419" w:eastAsia="es-419"/>
              </w:rPr>
              <w:t>dic-22</w:t>
            </w:r>
          </w:p>
        </w:tc>
      </w:tr>
      <w:tr w:rsidR="00D85199" w:rsidRPr="00D85199" w14:paraId="0137A1A4" w14:textId="77777777" w:rsidTr="00D85199">
        <w:trPr>
          <w:trHeight w:val="610"/>
          <w:jc w:val="center"/>
        </w:trPr>
        <w:tc>
          <w:tcPr>
            <w:tcW w:w="4496" w:type="dxa"/>
            <w:tcBorders>
              <w:top w:val="nil"/>
              <w:left w:val="nil"/>
              <w:bottom w:val="single" w:sz="4" w:space="0" w:color="auto"/>
              <w:right w:val="nil"/>
            </w:tcBorders>
            <w:shd w:val="clear" w:color="auto" w:fill="auto"/>
            <w:vAlign w:val="bottom"/>
            <w:hideMark/>
          </w:tcPr>
          <w:p w14:paraId="22B84368" w14:textId="77777777" w:rsidR="00D85199" w:rsidRPr="00D85199" w:rsidRDefault="00D85199" w:rsidP="00D85199">
            <w:pPr>
              <w:ind w:right="0"/>
              <w:jc w:val="left"/>
              <w:rPr>
                <w:b/>
                <w:bCs/>
                <w:color w:val="000000"/>
                <w:lang w:val="es-419" w:eastAsia="es-419"/>
              </w:rPr>
            </w:pPr>
            <w:r w:rsidRPr="00D85199">
              <w:rPr>
                <w:b/>
                <w:bCs/>
                <w:color w:val="000000"/>
                <w:lang w:val="es-419" w:eastAsia="es-419"/>
              </w:rPr>
              <w:t>Utilidad Neta a Activo total promedio (a/b)</w:t>
            </w:r>
          </w:p>
        </w:tc>
        <w:tc>
          <w:tcPr>
            <w:tcW w:w="1476" w:type="dxa"/>
            <w:tcBorders>
              <w:top w:val="nil"/>
              <w:left w:val="single" w:sz="4" w:space="0" w:color="auto"/>
              <w:bottom w:val="single" w:sz="4" w:space="0" w:color="auto"/>
              <w:right w:val="nil"/>
            </w:tcBorders>
            <w:shd w:val="clear" w:color="auto" w:fill="auto"/>
            <w:noWrap/>
            <w:vAlign w:val="center"/>
            <w:hideMark/>
          </w:tcPr>
          <w:p w14:paraId="11FEABF3" w14:textId="77777777" w:rsidR="00D85199" w:rsidRPr="00D85199" w:rsidRDefault="00D85199" w:rsidP="00D85199">
            <w:pPr>
              <w:ind w:right="0"/>
              <w:jc w:val="right"/>
              <w:rPr>
                <w:b/>
                <w:bCs/>
                <w:color w:val="000000"/>
                <w:sz w:val="20"/>
                <w:szCs w:val="20"/>
                <w:lang w:val="es-419" w:eastAsia="es-419"/>
              </w:rPr>
            </w:pPr>
            <w:r w:rsidRPr="00D85199">
              <w:rPr>
                <w:b/>
                <w:bCs/>
                <w:color w:val="000000"/>
                <w:sz w:val="20"/>
                <w:szCs w:val="20"/>
                <w:lang w:val="es-419" w:eastAsia="es-419"/>
              </w:rPr>
              <w:t>-1,4%</w:t>
            </w:r>
          </w:p>
        </w:tc>
        <w:tc>
          <w:tcPr>
            <w:tcW w:w="1476" w:type="dxa"/>
            <w:tcBorders>
              <w:top w:val="nil"/>
              <w:left w:val="single" w:sz="4" w:space="0" w:color="auto"/>
              <w:bottom w:val="single" w:sz="4" w:space="0" w:color="auto"/>
              <w:right w:val="nil"/>
            </w:tcBorders>
            <w:shd w:val="clear" w:color="auto" w:fill="auto"/>
            <w:noWrap/>
            <w:vAlign w:val="center"/>
            <w:hideMark/>
          </w:tcPr>
          <w:p w14:paraId="72174179" w14:textId="77777777" w:rsidR="00D85199" w:rsidRPr="00D85199" w:rsidRDefault="00D85199" w:rsidP="00D85199">
            <w:pPr>
              <w:ind w:right="0"/>
              <w:jc w:val="right"/>
              <w:rPr>
                <w:b/>
                <w:bCs/>
                <w:color w:val="000000"/>
                <w:sz w:val="20"/>
                <w:szCs w:val="20"/>
                <w:lang w:val="es-419" w:eastAsia="es-419"/>
              </w:rPr>
            </w:pPr>
            <w:r w:rsidRPr="00D85199">
              <w:rPr>
                <w:b/>
                <w:bCs/>
                <w:color w:val="000000"/>
                <w:sz w:val="20"/>
                <w:szCs w:val="20"/>
                <w:lang w:val="es-419" w:eastAsia="es-419"/>
              </w:rPr>
              <w:t>2,9%</w:t>
            </w:r>
          </w:p>
        </w:tc>
      </w:tr>
      <w:tr w:rsidR="00D85199" w:rsidRPr="00D85199" w14:paraId="2FD98334" w14:textId="77777777" w:rsidTr="00D85199">
        <w:trPr>
          <w:trHeight w:val="290"/>
          <w:jc w:val="center"/>
        </w:trPr>
        <w:tc>
          <w:tcPr>
            <w:tcW w:w="4496" w:type="dxa"/>
            <w:tcBorders>
              <w:top w:val="nil"/>
              <w:left w:val="nil"/>
              <w:bottom w:val="dashed" w:sz="4" w:space="0" w:color="auto"/>
              <w:right w:val="nil"/>
            </w:tcBorders>
            <w:shd w:val="clear" w:color="auto" w:fill="auto"/>
            <w:noWrap/>
            <w:vAlign w:val="bottom"/>
            <w:hideMark/>
          </w:tcPr>
          <w:p w14:paraId="4E40CC98"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a) Excedente (déficit), neto</w:t>
            </w:r>
          </w:p>
        </w:tc>
        <w:tc>
          <w:tcPr>
            <w:tcW w:w="1476" w:type="dxa"/>
            <w:tcBorders>
              <w:top w:val="nil"/>
              <w:left w:val="single" w:sz="4" w:space="0" w:color="auto"/>
              <w:bottom w:val="dotted" w:sz="4" w:space="0" w:color="auto"/>
              <w:right w:val="nil"/>
            </w:tcBorders>
            <w:shd w:val="clear" w:color="000000" w:fill="FFFFFF"/>
            <w:noWrap/>
            <w:vAlign w:val="bottom"/>
            <w:hideMark/>
          </w:tcPr>
          <w:p w14:paraId="26F5D005"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(93 033)</w:t>
            </w:r>
          </w:p>
        </w:tc>
        <w:tc>
          <w:tcPr>
            <w:tcW w:w="1476" w:type="dxa"/>
            <w:tcBorders>
              <w:top w:val="nil"/>
              <w:left w:val="single" w:sz="4" w:space="0" w:color="auto"/>
              <w:bottom w:val="dotted" w:sz="4" w:space="0" w:color="auto"/>
              <w:right w:val="nil"/>
            </w:tcBorders>
            <w:shd w:val="clear" w:color="000000" w:fill="FFFFFF"/>
            <w:noWrap/>
            <w:vAlign w:val="bottom"/>
            <w:hideMark/>
          </w:tcPr>
          <w:p w14:paraId="3F3A04DE"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191 019 </w:t>
            </w:r>
          </w:p>
        </w:tc>
      </w:tr>
      <w:tr w:rsidR="00D85199" w:rsidRPr="00D85199" w14:paraId="38D99279" w14:textId="77777777" w:rsidTr="00D85199">
        <w:trPr>
          <w:trHeight w:val="300"/>
          <w:jc w:val="center"/>
        </w:trPr>
        <w:tc>
          <w:tcPr>
            <w:tcW w:w="4496" w:type="dxa"/>
            <w:tcBorders>
              <w:top w:val="nil"/>
              <w:left w:val="nil"/>
              <w:bottom w:val="double" w:sz="6" w:space="0" w:color="auto"/>
              <w:right w:val="nil"/>
            </w:tcBorders>
            <w:shd w:val="clear" w:color="auto" w:fill="auto"/>
            <w:noWrap/>
            <w:vAlign w:val="bottom"/>
            <w:hideMark/>
          </w:tcPr>
          <w:p w14:paraId="468B3177"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b) Activo Total Promedio</w:t>
            </w:r>
          </w:p>
        </w:tc>
        <w:tc>
          <w:tcPr>
            <w:tcW w:w="1476" w:type="dxa"/>
            <w:tcBorders>
              <w:top w:val="nil"/>
              <w:left w:val="single" w:sz="4" w:space="0" w:color="auto"/>
              <w:bottom w:val="double" w:sz="6" w:space="0" w:color="auto"/>
              <w:right w:val="nil"/>
            </w:tcBorders>
            <w:shd w:val="clear" w:color="000000" w:fill="FFFFFF"/>
            <w:noWrap/>
            <w:vAlign w:val="bottom"/>
            <w:hideMark/>
          </w:tcPr>
          <w:p w14:paraId="64F57852"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6 754 428 </w:t>
            </w:r>
          </w:p>
        </w:tc>
        <w:tc>
          <w:tcPr>
            <w:tcW w:w="1476" w:type="dxa"/>
            <w:tcBorders>
              <w:top w:val="nil"/>
              <w:left w:val="single" w:sz="4" w:space="0" w:color="auto"/>
              <w:bottom w:val="double" w:sz="6" w:space="0" w:color="auto"/>
              <w:right w:val="nil"/>
            </w:tcBorders>
            <w:shd w:val="clear" w:color="000000" w:fill="FFFFFF"/>
            <w:noWrap/>
            <w:vAlign w:val="bottom"/>
            <w:hideMark/>
          </w:tcPr>
          <w:p w14:paraId="3815D6AE"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6 574 744 </w:t>
            </w:r>
          </w:p>
        </w:tc>
      </w:tr>
    </w:tbl>
    <w:p w14:paraId="55B4A93E" w14:textId="77777777" w:rsidR="00D7382A" w:rsidRDefault="00D7382A" w:rsidP="00BA08EC">
      <w:pPr>
        <w:ind w:left="-540" w:right="-25"/>
        <w:jc w:val="center"/>
      </w:pPr>
    </w:p>
    <w:p w14:paraId="36E6A8DB" w14:textId="77777777" w:rsidR="00312930" w:rsidRPr="00D75232" w:rsidRDefault="00312930" w:rsidP="00312930">
      <w:pPr>
        <w:ind w:left="-540" w:right="-25"/>
      </w:pPr>
      <w:r w:rsidRPr="00D75232">
        <w:t>Al cierre del período 2022, el Grupo ICE presenta un incremento en su utilidad neta, debido principalmente al aumento en los servicios de electricidad, asociado a mayor demanda de las empresas distribuidoras, venta neta de energía al exterior, aumento de clientes y aprobación tarifaria de ARESEP para el I y II trimestre del 2022, y los servicios de telecomunicaciones asociado principalmente al aumento en el servicio móvil, servicio de datos IP  y servicios complementarios, así como el efecto positivo de las fluctuaciones cambiarias debido a la apreciación del colón con respecto al dólar (tipo de cambio Sector Público no Bancario) de 45,02 CRC y 1,05 CRC en el yen con respecto al colón al cierre del 2022.</w:t>
      </w:r>
    </w:p>
    <w:p w14:paraId="673D4CAB" w14:textId="77777777" w:rsidR="00A65F5F" w:rsidRPr="00C7001C" w:rsidRDefault="00A65F5F" w:rsidP="00A65F5F">
      <w:pPr>
        <w:ind w:left="-540" w:right="-25"/>
      </w:pPr>
    </w:p>
    <w:p w14:paraId="35B32925" w14:textId="77777777" w:rsidR="00A65F5F" w:rsidRPr="00752386" w:rsidRDefault="00A65F5F" w:rsidP="00A65F5F">
      <w:pPr>
        <w:pStyle w:val="Ttulo4"/>
        <w:numPr>
          <w:ilvl w:val="3"/>
          <w:numId w:val="20"/>
        </w:numPr>
        <w:ind w:left="0" w:firstLine="0"/>
      </w:pPr>
      <w:r w:rsidRPr="00752386">
        <w:t>Utilidad neta a Ingresos Totales (Porcentajes)</w:t>
      </w:r>
    </w:p>
    <w:p w14:paraId="353E2EEF" w14:textId="77777777" w:rsidR="00A65F5F" w:rsidRDefault="00A65F5F" w:rsidP="00A65F5F">
      <w:pPr>
        <w:ind w:left="-540" w:right="-25"/>
      </w:pPr>
    </w:p>
    <w:p w14:paraId="2D9B4D09" w14:textId="77777777" w:rsidR="00A65F5F" w:rsidRDefault="00A65F5F" w:rsidP="00A65F5F">
      <w:pPr>
        <w:ind w:left="-540" w:right="-25"/>
      </w:pPr>
      <w:r w:rsidRPr="00F95CF1">
        <w:t>E</w:t>
      </w:r>
      <w:r>
        <w:t>ste</w:t>
      </w:r>
      <w:r w:rsidRPr="00F95CF1">
        <w:t xml:space="preserve"> índice </w:t>
      </w:r>
      <w:r>
        <w:t>permite inferir</w:t>
      </w:r>
      <w:r w:rsidRPr="00F95CF1">
        <w:t xml:space="preserve"> cuánto puede conservar la empresa como ganancia por cada colón de ventas.</w:t>
      </w:r>
    </w:p>
    <w:p w14:paraId="39E70D50" w14:textId="77777777" w:rsidR="00A65F5F" w:rsidRPr="00466B6F" w:rsidRDefault="00A65F5F" w:rsidP="00A65F5F">
      <w:pPr>
        <w:ind w:right="-25"/>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D85199" w:rsidRPr="00D85199" w14:paraId="60CF344C" w14:textId="77777777" w:rsidTr="00D85199">
        <w:trPr>
          <w:trHeight w:val="310"/>
          <w:jc w:val="center"/>
        </w:trPr>
        <w:tc>
          <w:tcPr>
            <w:tcW w:w="4496" w:type="dxa"/>
            <w:tcBorders>
              <w:top w:val="nil"/>
              <w:left w:val="nil"/>
              <w:bottom w:val="nil"/>
              <w:right w:val="nil"/>
            </w:tcBorders>
            <w:shd w:val="clear" w:color="000000" w:fill="333F4F"/>
            <w:noWrap/>
            <w:vAlign w:val="bottom"/>
            <w:hideMark/>
          </w:tcPr>
          <w:p w14:paraId="459BCC1A" w14:textId="77777777" w:rsidR="00D85199" w:rsidRPr="00D85199" w:rsidRDefault="00D85199" w:rsidP="00D85199">
            <w:pPr>
              <w:ind w:right="0"/>
              <w:jc w:val="left"/>
              <w:rPr>
                <w:rFonts w:ascii="Calibri" w:hAnsi="Calibri" w:cs="Calibri"/>
                <w:color w:val="000000"/>
                <w:sz w:val="22"/>
                <w:szCs w:val="22"/>
                <w:lang w:val="es-419" w:eastAsia="es-419"/>
              </w:rPr>
            </w:pPr>
            <w:r w:rsidRPr="00D85199">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04F1DB37" w14:textId="77777777" w:rsidR="00D85199" w:rsidRPr="00D85199" w:rsidRDefault="00D85199" w:rsidP="00D85199">
            <w:pPr>
              <w:ind w:right="0"/>
              <w:jc w:val="center"/>
              <w:rPr>
                <w:b/>
                <w:bCs/>
                <w:color w:val="FFFFFF"/>
                <w:lang w:val="es-419" w:eastAsia="es-419"/>
              </w:rPr>
            </w:pPr>
            <w:r w:rsidRPr="00D85199">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4D737152" w14:textId="77777777" w:rsidR="00D85199" w:rsidRPr="00D85199" w:rsidRDefault="00D85199" w:rsidP="00D85199">
            <w:pPr>
              <w:ind w:right="0"/>
              <w:jc w:val="center"/>
              <w:rPr>
                <w:b/>
                <w:bCs/>
                <w:color w:val="FFFFFF"/>
                <w:lang w:val="es-419" w:eastAsia="es-419"/>
              </w:rPr>
            </w:pPr>
            <w:r w:rsidRPr="00D85199">
              <w:rPr>
                <w:b/>
                <w:bCs/>
                <w:color w:val="FFFFFF"/>
                <w:lang w:val="es-419" w:eastAsia="es-419"/>
              </w:rPr>
              <w:t>dic-22</w:t>
            </w:r>
          </w:p>
        </w:tc>
      </w:tr>
      <w:tr w:rsidR="00D85199" w:rsidRPr="00D85199" w14:paraId="47750238" w14:textId="77777777" w:rsidTr="00D85199">
        <w:trPr>
          <w:trHeight w:val="620"/>
          <w:jc w:val="center"/>
        </w:trPr>
        <w:tc>
          <w:tcPr>
            <w:tcW w:w="4496" w:type="dxa"/>
            <w:tcBorders>
              <w:top w:val="nil"/>
              <w:left w:val="nil"/>
              <w:bottom w:val="single" w:sz="4" w:space="0" w:color="auto"/>
              <w:right w:val="nil"/>
            </w:tcBorders>
            <w:shd w:val="clear" w:color="auto" w:fill="auto"/>
            <w:vAlign w:val="bottom"/>
            <w:hideMark/>
          </w:tcPr>
          <w:p w14:paraId="08163BD4" w14:textId="77777777" w:rsidR="00D85199" w:rsidRPr="00D85199" w:rsidRDefault="00D85199" w:rsidP="00D85199">
            <w:pPr>
              <w:ind w:right="0"/>
              <w:jc w:val="left"/>
              <w:rPr>
                <w:b/>
                <w:bCs/>
                <w:color w:val="000000"/>
                <w:lang w:val="es-419" w:eastAsia="es-419"/>
              </w:rPr>
            </w:pPr>
            <w:r w:rsidRPr="00D85199">
              <w:rPr>
                <w:b/>
                <w:bCs/>
                <w:color w:val="000000"/>
                <w:lang w:val="es-419" w:eastAsia="es-419"/>
              </w:rPr>
              <w:t>Utilidad Neta a Ingresos Totales (a/b)</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5801DCED" w14:textId="77777777" w:rsidR="00D85199" w:rsidRPr="00D85199" w:rsidRDefault="00D85199" w:rsidP="00D85199">
            <w:pPr>
              <w:ind w:right="0"/>
              <w:jc w:val="right"/>
              <w:rPr>
                <w:b/>
                <w:bCs/>
                <w:color w:val="000000"/>
                <w:sz w:val="20"/>
                <w:szCs w:val="20"/>
                <w:lang w:val="es-419" w:eastAsia="es-419"/>
              </w:rPr>
            </w:pPr>
            <w:r w:rsidRPr="00D85199">
              <w:rPr>
                <w:b/>
                <w:bCs/>
                <w:color w:val="000000"/>
                <w:sz w:val="20"/>
                <w:szCs w:val="20"/>
                <w:lang w:val="es-419" w:eastAsia="es-419"/>
              </w:rPr>
              <w:t>-7,0%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5A8550AE" w14:textId="77777777" w:rsidR="00D85199" w:rsidRPr="00D85199" w:rsidRDefault="00D85199" w:rsidP="00D85199">
            <w:pPr>
              <w:ind w:right="0"/>
              <w:jc w:val="right"/>
              <w:rPr>
                <w:b/>
                <w:bCs/>
                <w:color w:val="000000"/>
                <w:sz w:val="20"/>
                <w:szCs w:val="20"/>
                <w:lang w:val="es-419" w:eastAsia="es-419"/>
              </w:rPr>
            </w:pPr>
            <w:r w:rsidRPr="00D85199">
              <w:rPr>
                <w:b/>
                <w:bCs/>
                <w:color w:val="000000"/>
                <w:sz w:val="20"/>
                <w:szCs w:val="20"/>
                <w:lang w:val="es-419" w:eastAsia="es-419"/>
              </w:rPr>
              <w:t>13,1%</w:t>
            </w:r>
          </w:p>
        </w:tc>
      </w:tr>
      <w:tr w:rsidR="00D85199" w:rsidRPr="00D85199" w14:paraId="3226ED84" w14:textId="77777777" w:rsidTr="00D85199">
        <w:trPr>
          <w:trHeight w:val="290"/>
          <w:jc w:val="center"/>
        </w:trPr>
        <w:tc>
          <w:tcPr>
            <w:tcW w:w="4496" w:type="dxa"/>
            <w:tcBorders>
              <w:top w:val="nil"/>
              <w:left w:val="nil"/>
              <w:bottom w:val="dashed" w:sz="4" w:space="0" w:color="auto"/>
              <w:right w:val="nil"/>
            </w:tcBorders>
            <w:shd w:val="clear" w:color="auto" w:fill="auto"/>
            <w:noWrap/>
            <w:vAlign w:val="bottom"/>
            <w:hideMark/>
          </w:tcPr>
          <w:p w14:paraId="6EE30478"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a) Utilidad neta</w:t>
            </w:r>
          </w:p>
        </w:tc>
        <w:tc>
          <w:tcPr>
            <w:tcW w:w="1476" w:type="dxa"/>
            <w:tcBorders>
              <w:top w:val="nil"/>
              <w:left w:val="single" w:sz="4" w:space="0" w:color="auto"/>
              <w:bottom w:val="dotted" w:sz="4" w:space="0" w:color="auto"/>
              <w:right w:val="nil"/>
            </w:tcBorders>
            <w:shd w:val="clear" w:color="000000" w:fill="FFFFFF"/>
            <w:noWrap/>
            <w:vAlign w:val="bottom"/>
            <w:hideMark/>
          </w:tcPr>
          <w:p w14:paraId="162F5F8A"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(93 033)</w:t>
            </w:r>
          </w:p>
        </w:tc>
        <w:tc>
          <w:tcPr>
            <w:tcW w:w="1476" w:type="dxa"/>
            <w:tcBorders>
              <w:top w:val="nil"/>
              <w:left w:val="single" w:sz="4" w:space="0" w:color="auto"/>
              <w:bottom w:val="dotted" w:sz="4" w:space="0" w:color="auto"/>
              <w:right w:val="nil"/>
            </w:tcBorders>
            <w:shd w:val="clear" w:color="000000" w:fill="FFFFFF"/>
            <w:noWrap/>
            <w:vAlign w:val="bottom"/>
            <w:hideMark/>
          </w:tcPr>
          <w:p w14:paraId="3270F2FF"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191 019 </w:t>
            </w:r>
          </w:p>
        </w:tc>
      </w:tr>
      <w:tr w:rsidR="00D85199" w:rsidRPr="00D85199" w14:paraId="427C5777" w14:textId="77777777" w:rsidTr="00D85199">
        <w:trPr>
          <w:trHeight w:val="300"/>
          <w:jc w:val="center"/>
        </w:trPr>
        <w:tc>
          <w:tcPr>
            <w:tcW w:w="4496" w:type="dxa"/>
            <w:tcBorders>
              <w:top w:val="nil"/>
              <w:left w:val="nil"/>
              <w:bottom w:val="double" w:sz="6" w:space="0" w:color="auto"/>
              <w:right w:val="nil"/>
            </w:tcBorders>
            <w:shd w:val="clear" w:color="auto" w:fill="auto"/>
            <w:noWrap/>
            <w:vAlign w:val="bottom"/>
            <w:hideMark/>
          </w:tcPr>
          <w:p w14:paraId="1A72A25E"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b) Ingresos Totales</w:t>
            </w:r>
          </w:p>
        </w:tc>
        <w:tc>
          <w:tcPr>
            <w:tcW w:w="1476" w:type="dxa"/>
            <w:tcBorders>
              <w:top w:val="nil"/>
              <w:left w:val="single" w:sz="4" w:space="0" w:color="auto"/>
              <w:bottom w:val="double" w:sz="6" w:space="0" w:color="auto"/>
              <w:right w:val="nil"/>
            </w:tcBorders>
            <w:shd w:val="clear" w:color="000000" w:fill="FFFFFF"/>
            <w:noWrap/>
            <w:vAlign w:val="bottom"/>
            <w:hideMark/>
          </w:tcPr>
          <w:p w14:paraId="3ACBB994"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1 333 443 </w:t>
            </w:r>
          </w:p>
        </w:tc>
        <w:tc>
          <w:tcPr>
            <w:tcW w:w="1476" w:type="dxa"/>
            <w:tcBorders>
              <w:top w:val="nil"/>
              <w:left w:val="single" w:sz="4" w:space="0" w:color="auto"/>
              <w:bottom w:val="double" w:sz="6" w:space="0" w:color="auto"/>
              <w:right w:val="nil"/>
            </w:tcBorders>
            <w:shd w:val="clear" w:color="000000" w:fill="FFFFFF"/>
            <w:noWrap/>
            <w:vAlign w:val="bottom"/>
            <w:hideMark/>
          </w:tcPr>
          <w:p w14:paraId="349B3CE8" w14:textId="77777777" w:rsidR="00D85199" w:rsidRPr="00D85199" w:rsidRDefault="00D85199" w:rsidP="00D85199">
            <w:pPr>
              <w:ind w:right="0"/>
              <w:jc w:val="left"/>
              <w:rPr>
                <w:color w:val="000000"/>
                <w:sz w:val="20"/>
                <w:szCs w:val="20"/>
                <w:lang w:val="es-419" w:eastAsia="es-419"/>
              </w:rPr>
            </w:pPr>
            <w:r w:rsidRPr="00D85199">
              <w:rPr>
                <w:color w:val="000000"/>
                <w:sz w:val="20"/>
                <w:szCs w:val="20"/>
                <w:lang w:val="es-419" w:eastAsia="es-419"/>
              </w:rPr>
              <w:t xml:space="preserve">          1 456 935 </w:t>
            </w:r>
          </w:p>
        </w:tc>
      </w:tr>
    </w:tbl>
    <w:p w14:paraId="79C3FB73" w14:textId="77777777" w:rsidR="00D7382A" w:rsidRDefault="00D7382A" w:rsidP="006B309A">
      <w:pPr>
        <w:ind w:left="-540" w:right="-25"/>
        <w:jc w:val="center"/>
      </w:pPr>
    </w:p>
    <w:p w14:paraId="71B634F5" w14:textId="77777777" w:rsidR="00AC31EA" w:rsidRDefault="00AC31EA" w:rsidP="006B309A">
      <w:pPr>
        <w:ind w:left="-540" w:right="-25"/>
        <w:jc w:val="center"/>
      </w:pPr>
    </w:p>
    <w:p w14:paraId="09138549" w14:textId="77777777" w:rsidR="0003707B" w:rsidRPr="00D75232" w:rsidRDefault="0003707B" w:rsidP="0003707B">
      <w:pPr>
        <w:ind w:left="-540" w:right="-25"/>
      </w:pPr>
      <w:r w:rsidRPr="00D75232">
        <w:t>Al cierre del período 2022, el margen neto del Grupo ICE alcanzó un nivel de 13,1%, sustancialmente mejor al presentado al 31 de diciembre 2021 en -7,0%. Lo anterior obedece principalmente al aumento por los servicios prestados en electricidad y telecomunicaciones, así como el efecto positivo de las fluctuaciones cambiarias debido a la apreciación del colón con respecto al dólar (tipo de cambio Sector Público no Bancario) de 45,02 CRC y 1,05 CRC en el yen con respecto al colón al cierre del 2022.</w:t>
      </w:r>
    </w:p>
    <w:p w14:paraId="39C925D5" w14:textId="77777777" w:rsidR="00A65F5F" w:rsidRPr="00752386" w:rsidRDefault="00A65F5F" w:rsidP="00A65F5F">
      <w:pPr>
        <w:pStyle w:val="Ttulo4"/>
        <w:numPr>
          <w:ilvl w:val="0"/>
          <w:numId w:val="21"/>
        </w:numPr>
        <w:ind w:left="-142" w:firstLine="0"/>
      </w:pPr>
      <w:r w:rsidRPr="00752386">
        <w:t>Utilidad Neta a Patrimonio Promedio (Porcentajes)</w:t>
      </w:r>
    </w:p>
    <w:p w14:paraId="74BD401B" w14:textId="77777777" w:rsidR="00A65F5F" w:rsidRDefault="00A65F5F" w:rsidP="00A65F5F">
      <w:pPr>
        <w:ind w:left="-540" w:right="-25"/>
      </w:pPr>
    </w:p>
    <w:p w14:paraId="1B5142F2" w14:textId="10950092" w:rsidR="00A65F5F" w:rsidRDefault="00A65F5F" w:rsidP="00A65F5F">
      <w:pPr>
        <w:ind w:left="-540" w:right="-25"/>
      </w:pPr>
      <w:r w:rsidRPr="008D1BD9">
        <w:t xml:space="preserve">El índice de Rendimiento del </w:t>
      </w:r>
      <w:r>
        <w:t xml:space="preserve">Patrimonio </w:t>
      </w:r>
      <w:r w:rsidRPr="008D1BD9">
        <w:t>Contable es utilizado por los accionistas de la empresa para indicar la tasa de retorno que la administración ha generado sobre el capital.</w:t>
      </w:r>
    </w:p>
    <w:p w14:paraId="3F4389E0" w14:textId="7E4916F5" w:rsidR="00B622C9" w:rsidRDefault="00B622C9" w:rsidP="00A65F5F">
      <w:pPr>
        <w:ind w:left="-540" w:right="-25"/>
      </w:pPr>
    </w:p>
    <w:p w14:paraId="5502BB46" w14:textId="17E1C5D6" w:rsidR="00B622C9" w:rsidRDefault="00B622C9" w:rsidP="00A65F5F">
      <w:pPr>
        <w:ind w:left="-540" w:right="-25"/>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D838E7" w:rsidRPr="00D838E7" w14:paraId="3BF0970C" w14:textId="77777777" w:rsidTr="00D838E7">
        <w:trPr>
          <w:trHeight w:val="310"/>
          <w:jc w:val="center"/>
        </w:trPr>
        <w:tc>
          <w:tcPr>
            <w:tcW w:w="4496" w:type="dxa"/>
            <w:tcBorders>
              <w:top w:val="nil"/>
              <w:left w:val="nil"/>
              <w:bottom w:val="nil"/>
              <w:right w:val="nil"/>
            </w:tcBorders>
            <w:shd w:val="clear" w:color="000000" w:fill="333F4F"/>
            <w:noWrap/>
            <w:vAlign w:val="bottom"/>
            <w:hideMark/>
          </w:tcPr>
          <w:p w14:paraId="40273CBB" w14:textId="77777777" w:rsidR="00D838E7" w:rsidRPr="00D838E7" w:rsidRDefault="00D838E7" w:rsidP="00D838E7">
            <w:pPr>
              <w:ind w:right="0"/>
              <w:jc w:val="left"/>
              <w:rPr>
                <w:rFonts w:ascii="Calibri" w:hAnsi="Calibri" w:cs="Calibri"/>
                <w:color w:val="000000"/>
                <w:sz w:val="22"/>
                <w:szCs w:val="22"/>
                <w:lang w:val="es-419" w:eastAsia="es-419"/>
              </w:rPr>
            </w:pPr>
            <w:r w:rsidRPr="00D838E7">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3C519FA3" w14:textId="77777777" w:rsidR="00D838E7" w:rsidRPr="00D838E7" w:rsidRDefault="00D838E7" w:rsidP="00D838E7">
            <w:pPr>
              <w:ind w:right="0"/>
              <w:jc w:val="center"/>
              <w:rPr>
                <w:b/>
                <w:bCs/>
                <w:color w:val="FFFFFF"/>
                <w:lang w:val="es-419" w:eastAsia="es-419"/>
              </w:rPr>
            </w:pPr>
            <w:r w:rsidRPr="00D838E7">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2265F18E" w14:textId="77777777" w:rsidR="00D838E7" w:rsidRPr="00D838E7" w:rsidRDefault="00D838E7" w:rsidP="00D838E7">
            <w:pPr>
              <w:ind w:right="0"/>
              <w:jc w:val="center"/>
              <w:rPr>
                <w:b/>
                <w:bCs/>
                <w:color w:val="FFFFFF"/>
                <w:lang w:val="es-419" w:eastAsia="es-419"/>
              </w:rPr>
            </w:pPr>
            <w:r w:rsidRPr="00D838E7">
              <w:rPr>
                <w:b/>
                <w:bCs/>
                <w:color w:val="FFFFFF"/>
                <w:lang w:val="es-419" w:eastAsia="es-419"/>
              </w:rPr>
              <w:t>dic-22</w:t>
            </w:r>
          </w:p>
        </w:tc>
      </w:tr>
      <w:tr w:rsidR="00D838E7" w:rsidRPr="00D838E7" w14:paraId="0E1A1590" w14:textId="77777777" w:rsidTr="00D838E7">
        <w:trPr>
          <w:trHeight w:val="610"/>
          <w:jc w:val="center"/>
        </w:trPr>
        <w:tc>
          <w:tcPr>
            <w:tcW w:w="4496" w:type="dxa"/>
            <w:tcBorders>
              <w:top w:val="nil"/>
              <w:left w:val="nil"/>
              <w:bottom w:val="single" w:sz="4" w:space="0" w:color="auto"/>
              <w:right w:val="nil"/>
            </w:tcBorders>
            <w:shd w:val="clear" w:color="auto" w:fill="auto"/>
            <w:vAlign w:val="bottom"/>
            <w:hideMark/>
          </w:tcPr>
          <w:p w14:paraId="17DF859F" w14:textId="77777777" w:rsidR="00D838E7" w:rsidRPr="00D838E7" w:rsidRDefault="00D838E7" w:rsidP="00D838E7">
            <w:pPr>
              <w:ind w:right="0"/>
              <w:jc w:val="left"/>
              <w:rPr>
                <w:b/>
                <w:bCs/>
                <w:color w:val="000000"/>
                <w:lang w:val="es-419" w:eastAsia="es-419"/>
              </w:rPr>
            </w:pPr>
            <w:r w:rsidRPr="00D838E7">
              <w:rPr>
                <w:b/>
                <w:bCs/>
                <w:color w:val="000000"/>
                <w:lang w:val="es-419" w:eastAsia="es-419"/>
              </w:rPr>
              <w:t>Utilidad Neta a Patrimonio Promedio (a/b)</w:t>
            </w:r>
          </w:p>
        </w:tc>
        <w:tc>
          <w:tcPr>
            <w:tcW w:w="1476" w:type="dxa"/>
            <w:tcBorders>
              <w:top w:val="nil"/>
              <w:left w:val="single" w:sz="4" w:space="0" w:color="auto"/>
              <w:bottom w:val="single" w:sz="4" w:space="0" w:color="auto"/>
              <w:right w:val="nil"/>
            </w:tcBorders>
            <w:shd w:val="clear" w:color="auto" w:fill="auto"/>
            <w:noWrap/>
            <w:vAlign w:val="center"/>
            <w:hideMark/>
          </w:tcPr>
          <w:p w14:paraId="7515EB91" w14:textId="77777777" w:rsidR="00D838E7" w:rsidRPr="00D838E7" w:rsidRDefault="00D838E7" w:rsidP="00D838E7">
            <w:pPr>
              <w:ind w:right="0"/>
              <w:jc w:val="right"/>
              <w:rPr>
                <w:b/>
                <w:bCs/>
                <w:color w:val="000000"/>
                <w:sz w:val="20"/>
                <w:szCs w:val="20"/>
                <w:lang w:val="es-419" w:eastAsia="es-419"/>
              </w:rPr>
            </w:pPr>
            <w:r w:rsidRPr="00D838E7">
              <w:rPr>
                <w:b/>
                <w:bCs/>
                <w:color w:val="000000"/>
                <w:sz w:val="20"/>
                <w:szCs w:val="20"/>
                <w:lang w:val="es-419" w:eastAsia="es-419"/>
              </w:rPr>
              <w:t>-3,5%</w:t>
            </w:r>
          </w:p>
        </w:tc>
        <w:tc>
          <w:tcPr>
            <w:tcW w:w="1476" w:type="dxa"/>
            <w:tcBorders>
              <w:top w:val="nil"/>
              <w:left w:val="single" w:sz="4" w:space="0" w:color="auto"/>
              <w:bottom w:val="single" w:sz="4" w:space="0" w:color="auto"/>
              <w:right w:val="nil"/>
            </w:tcBorders>
            <w:shd w:val="clear" w:color="auto" w:fill="auto"/>
            <w:noWrap/>
            <w:vAlign w:val="center"/>
            <w:hideMark/>
          </w:tcPr>
          <w:p w14:paraId="64FB0C77" w14:textId="77777777" w:rsidR="00D838E7" w:rsidRPr="00D838E7" w:rsidRDefault="00D838E7" w:rsidP="00D838E7">
            <w:pPr>
              <w:ind w:right="0"/>
              <w:jc w:val="right"/>
              <w:rPr>
                <w:b/>
                <w:bCs/>
                <w:color w:val="000000"/>
                <w:sz w:val="20"/>
                <w:szCs w:val="20"/>
                <w:lang w:val="es-419" w:eastAsia="es-419"/>
              </w:rPr>
            </w:pPr>
            <w:r w:rsidRPr="00D838E7">
              <w:rPr>
                <w:b/>
                <w:bCs/>
                <w:color w:val="000000"/>
                <w:sz w:val="20"/>
                <w:szCs w:val="20"/>
                <w:lang w:val="es-419" w:eastAsia="es-419"/>
              </w:rPr>
              <w:t>7,0%</w:t>
            </w:r>
          </w:p>
        </w:tc>
      </w:tr>
      <w:tr w:rsidR="00D838E7" w:rsidRPr="00D838E7" w14:paraId="59415E0D" w14:textId="77777777" w:rsidTr="00D838E7">
        <w:trPr>
          <w:trHeight w:val="290"/>
          <w:jc w:val="center"/>
        </w:trPr>
        <w:tc>
          <w:tcPr>
            <w:tcW w:w="4496" w:type="dxa"/>
            <w:tcBorders>
              <w:top w:val="nil"/>
              <w:left w:val="nil"/>
              <w:bottom w:val="dashed" w:sz="4" w:space="0" w:color="auto"/>
              <w:right w:val="nil"/>
            </w:tcBorders>
            <w:shd w:val="clear" w:color="auto" w:fill="auto"/>
            <w:noWrap/>
            <w:vAlign w:val="bottom"/>
            <w:hideMark/>
          </w:tcPr>
          <w:p w14:paraId="19B9F11C"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a) Utilidad neta</w:t>
            </w:r>
          </w:p>
        </w:tc>
        <w:tc>
          <w:tcPr>
            <w:tcW w:w="1476" w:type="dxa"/>
            <w:tcBorders>
              <w:top w:val="nil"/>
              <w:left w:val="single" w:sz="4" w:space="0" w:color="auto"/>
              <w:bottom w:val="dotted" w:sz="4" w:space="0" w:color="auto"/>
              <w:right w:val="nil"/>
            </w:tcBorders>
            <w:shd w:val="clear" w:color="000000" w:fill="FFFFFF"/>
            <w:noWrap/>
            <w:vAlign w:val="bottom"/>
            <w:hideMark/>
          </w:tcPr>
          <w:p w14:paraId="0D6370B4"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 xml:space="preserve">             (93 033)</w:t>
            </w:r>
          </w:p>
        </w:tc>
        <w:tc>
          <w:tcPr>
            <w:tcW w:w="1476" w:type="dxa"/>
            <w:tcBorders>
              <w:top w:val="nil"/>
              <w:left w:val="single" w:sz="4" w:space="0" w:color="auto"/>
              <w:bottom w:val="dotted" w:sz="4" w:space="0" w:color="auto"/>
              <w:right w:val="nil"/>
            </w:tcBorders>
            <w:shd w:val="clear" w:color="000000" w:fill="FFFFFF"/>
            <w:noWrap/>
            <w:vAlign w:val="bottom"/>
            <w:hideMark/>
          </w:tcPr>
          <w:p w14:paraId="3AE75F57"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 xml:space="preserve">             191 019 </w:t>
            </w:r>
          </w:p>
        </w:tc>
      </w:tr>
      <w:tr w:rsidR="00D838E7" w:rsidRPr="00D838E7" w14:paraId="1FD29671" w14:textId="77777777" w:rsidTr="00D838E7">
        <w:trPr>
          <w:trHeight w:val="300"/>
          <w:jc w:val="center"/>
        </w:trPr>
        <w:tc>
          <w:tcPr>
            <w:tcW w:w="4496" w:type="dxa"/>
            <w:tcBorders>
              <w:top w:val="nil"/>
              <w:left w:val="nil"/>
              <w:bottom w:val="double" w:sz="6" w:space="0" w:color="auto"/>
              <w:right w:val="nil"/>
            </w:tcBorders>
            <w:shd w:val="clear" w:color="auto" w:fill="auto"/>
            <w:noWrap/>
            <w:vAlign w:val="bottom"/>
            <w:hideMark/>
          </w:tcPr>
          <w:p w14:paraId="3BC20392"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b) Patrimonio Promedio</w:t>
            </w:r>
          </w:p>
        </w:tc>
        <w:tc>
          <w:tcPr>
            <w:tcW w:w="1476" w:type="dxa"/>
            <w:tcBorders>
              <w:top w:val="nil"/>
              <w:left w:val="single" w:sz="4" w:space="0" w:color="auto"/>
              <w:bottom w:val="double" w:sz="6" w:space="0" w:color="auto"/>
              <w:right w:val="nil"/>
            </w:tcBorders>
            <w:shd w:val="clear" w:color="000000" w:fill="FFFFFF"/>
            <w:noWrap/>
            <w:vAlign w:val="bottom"/>
            <w:hideMark/>
          </w:tcPr>
          <w:p w14:paraId="1D0FD2A1"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 xml:space="preserve">          2 673 077 </w:t>
            </w:r>
          </w:p>
        </w:tc>
        <w:tc>
          <w:tcPr>
            <w:tcW w:w="1476" w:type="dxa"/>
            <w:tcBorders>
              <w:top w:val="nil"/>
              <w:left w:val="single" w:sz="4" w:space="0" w:color="auto"/>
              <w:bottom w:val="double" w:sz="6" w:space="0" w:color="auto"/>
              <w:right w:val="nil"/>
            </w:tcBorders>
            <w:shd w:val="clear" w:color="000000" w:fill="FFFFFF"/>
            <w:noWrap/>
            <w:vAlign w:val="bottom"/>
            <w:hideMark/>
          </w:tcPr>
          <w:p w14:paraId="0310351F" w14:textId="77777777" w:rsidR="00D838E7" w:rsidRPr="00D838E7" w:rsidRDefault="00D838E7" w:rsidP="00D838E7">
            <w:pPr>
              <w:ind w:right="0"/>
              <w:jc w:val="left"/>
              <w:rPr>
                <w:color w:val="000000"/>
                <w:sz w:val="20"/>
                <w:szCs w:val="20"/>
                <w:lang w:val="es-419" w:eastAsia="es-419"/>
              </w:rPr>
            </w:pPr>
            <w:r w:rsidRPr="00D838E7">
              <w:rPr>
                <w:color w:val="000000"/>
                <w:sz w:val="20"/>
                <w:szCs w:val="20"/>
                <w:lang w:val="es-419" w:eastAsia="es-419"/>
              </w:rPr>
              <w:t xml:space="preserve">          2 720 012 </w:t>
            </w:r>
          </w:p>
        </w:tc>
      </w:tr>
    </w:tbl>
    <w:p w14:paraId="0E169947" w14:textId="77777777" w:rsidR="00D7382A" w:rsidRDefault="00D7382A" w:rsidP="00BA08EC">
      <w:pPr>
        <w:ind w:left="-540" w:right="-25"/>
        <w:jc w:val="center"/>
      </w:pPr>
    </w:p>
    <w:p w14:paraId="33FC4743" w14:textId="77777777" w:rsidR="00A65F5F" w:rsidRDefault="00A65F5F" w:rsidP="00A65F5F">
      <w:pPr>
        <w:ind w:left="-540" w:right="-25"/>
      </w:pPr>
    </w:p>
    <w:p w14:paraId="6B64C0A2" w14:textId="77777777" w:rsidR="00BE2365" w:rsidRPr="00D75232" w:rsidRDefault="00BE2365" w:rsidP="00BE2365">
      <w:pPr>
        <w:ind w:left="-540" w:right="-25"/>
        <w:rPr>
          <w:rFonts w:ascii="Calibri Light" w:hAnsi="Calibri Light"/>
        </w:rPr>
      </w:pPr>
      <w:r w:rsidRPr="00D75232">
        <w:t>El resultado positivo de este indicador al 31 de diciembre de 2022 con respecto al 2021, se debe principalmente al resultado obtenido en excedente (déficit) neto al cierre de diciembre de 2022, por las razones detalladas anteriormente en los indicadores relacionados.</w:t>
      </w:r>
    </w:p>
    <w:p w14:paraId="60AD410C" w14:textId="77777777" w:rsidR="00A65F5F" w:rsidRDefault="00A65F5F" w:rsidP="00A65F5F">
      <w:pPr>
        <w:rPr>
          <w:rFonts w:ascii="Calibri Light" w:hAnsi="Calibri Light"/>
        </w:rPr>
      </w:pPr>
    </w:p>
    <w:p w14:paraId="71A55C12" w14:textId="70F504D4" w:rsidR="00A65F5F" w:rsidRDefault="00A65F5F" w:rsidP="00EF0D70">
      <w:pPr>
        <w:pStyle w:val="Ttulo3"/>
        <w:numPr>
          <w:ilvl w:val="2"/>
          <w:numId w:val="23"/>
        </w:numPr>
        <w:ind w:left="-567" w:firstLine="0"/>
      </w:pPr>
      <w:bookmarkStart w:id="1076" w:name="_Toc262460215"/>
      <w:bookmarkStart w:id="1077" w:name="_Toc262460342"/>
      <w:bookmarkStart w:id="1078" w:name="_Toc262460469"/>
      <w:bookmarkStart w:id="1079" w:name="_Toc262460216"/>
      <w:bookmarkStart w:id="1080" w:name="_Toc262460343"/>
      <w:bookmarkStart w:id="1081" w:name="_Toc262460470"/>
      <w:bookmarkStart w:id="1082" w:name="_Toc262460217"/>
      <w:bookmarkStart w:id="1083" w:name="_Toc262460344"/>
      <w:bookmarkStart w:id="1084" w:name="_Toc262460471"/>
      <w:bookmarkStart w:id="1085" w:name="_Toc262460218"/>
      <w:bookmarkStart w:id="1086" w:name="_Toc262460345"/>
      <w:bookmarkStart w:id="1087" w:name="_Toc262460472"/>
      <w:bookmarkStart w:id="1088" w:name="_Toc261418369"/>
      <w:bookmarkStart w:id="1089" w:name="_Toc261458553"/>
      <w:bookmarkStart w:id="1090" w:name="_Toc261458941"/>
      <w:bookmarkStart w:id="1091" w:name="_Toc262203263"/>
      <w:bookmarkStart w:id="1092" w:name="_Toc262218600"/>
      <w:bookmarkStart w:id="1093" w:name="_Toc262319056"/>
      <w:bookmarkStart w:id="1094" w:name="_Toc262458950"/>
      <w:bookmarkStart w:id="1095" w:name="_Toc262459804"/>
      <w:bookmarkStart w:id="1096" w:name="_Toc262460219"/>
      <w:bookmarkStart w:id="1097" w:name="_Toc262460346"/>
      <w:bookmarkStart w:id="1098" w:name="_Toc262460473"/>
      <w:bookmarkStart w:id="1099" w:name="_Toc261418370"/>
      <w:bookmarkStart w:id="1100" w:name="_Toc261458554"/>
      <w:bookmarkStart w:id="1101" w:name="_Toc261458942"/>
      <w:bookmarkStart w:id="1102" w:name="_Toc262203264"/>
      <w:bookmarkStart w:id="1103" w:name="_Toc262218601"/>
      <w:bookmarkStart w:id="1104" w:name="_Toc262319057"/>
      <w:bookmarkStart w:id="1105" w:name="_Toc262458951"/>
      <w:bookmarkStart w:id="1106" w:name="_Toc262459805"/>
      <w:bookmarkStart w:id="1107" w:name="_Toc262460220"/>
      <w:bookmarkStart w:id="1108" w:name="_Toc262460347"/>
      <w:bookmarkStart w:id="1109" w:name="_Toc262460474"/>
      <w:bookmarkStart w:id="1110" w:name="_Toc261418371"/>
      <w:bookmarkStart w:id="1111" w:name="_Toc261458555"/>
      <w:bookmarkStart w:id="1112" w:name="_Toc261458943"/>
      <w:bookmarkStart w:id="1113" w:name="_Toc262203265"/>
      <w:bookmarkStart w:id="1114" w:name="_Toc262218602"/>
      <w:bookmarkStart w:id="1115" w:name="_Toc262319058"/>
      <w:bookmarkStart w:id="1116" w:name="_Toc262458952"/>
      <w:bookmarkStart w:id="1117" w:name="_Toc262459806"/>
      <w:bookmarkStart w:id="1118" w:name="_Toc262460221"/>
      <w:bookmarkStart w:id="1119" w:name="_Toc262460348"/>
      <w:bookmarkStart w:id="1120" w:name="_Toc262460475"/>
      <w:bookmarkStart w:id="1121" w:name="_Toc261418372"/>
      <w:bookmarkStart w:id="1122" w:name="_Toc261458556"/>
      <w:bookmarkStart w:id="1123" w:name="_Toc261458944"/>
      <w:bookmarkStart w:id="1124" w:name="_Toc262203266"/>
      <w:bookmarkStart w:id="1125" w:name="_Toc262218603"/>
      <w:bookmarkStart w:id="1126" w:name="_Toc262319059"/>
      <w:bookmarkStart w:id="1127" w:name="_Toc262458953"/>
      <w:bookmarkStart w:id="1128" w:name="_Toc262459807"/>
      <w:bookmarkStart w:id="1129" w:name="_Toc262460222"/>
      <w:bookmarkStart w:id="1130" w:name="_Toc262460349"/>
      <w:bookmarkStart w:id="1131" w:name="_Toc262460476"/>
      <w:bookmarkStart w:id="1132" w:name="_Toc261418373"/>
      <w:bookmarkStart w:id="1133" w:name="_Toc261458557"/>
      <w:bookmarkStart w:id="1134" w:name="_Toc261458945"/>
      <w:bookmarkStart w:id="1135" w:name="_Toc262203267"/>
      <w:bookmarkStart w:id="1136" w:name="_Toc262218604"/>
      <w:bookmarkStart w:id="1137" w:name="_Toc262319060"/>
      <w:bookmarkStart w:id="1138" w:name="_Toc262458954"/>
      <w:bookmarkStart w:id="1139" w:name="_Toc262459808"/>
      <w:bookmarkStart w:id="1140" w:name="_Toc262460223"/>
      <w:bookmarkStart w:id="1141" w:name="_Toc262460350"/>
      <w:bookmarkStart w:id="1142" w:name="_Toc262460477"/>
      <w:bookmarkStart w:id="1143" w:name="_Toc229149145"/>
      <w:bookmarkStart w:id="1144" w:name="_Toc229149283"/>
      <w:bookmarkStart w:id="1145" w:name="_Toc229150103"/>
      <w:bookmarkStart w:id="1146" w:name="_Toc229150739"/>
      <w:bookmarkStart w:id="1147" w:name="_Toc229149146"/>
      <w:bookmarkStart w:id="1148" w:name="_Toc229149284"/>
      <w:bookmarkStart w:id="1149" w:name="_Toc229150104"/>
      <w:bookmarkStart w:id="1150" w:name="_Toc229150740"/>
      <w:bookmarkStart w:id="1151" w:name="_Toc229149147"/>
      <w:bookmarkStart w:id="1152" w:name="_Toc229149285"/>
      <w:bookmarkStart w:id="1153" w:name="_Toc229150105"/>
      <w:bookmarkStart w:id="1154" w:name="_Toc229150741"/>
      <w:bookmarkStart w:id="1155" w:name="_Toc304737187"/>
      <w:bookmarkStart w:id="1156" w:name="_Toc343676022"/>
      <w:bookmarkStart w:id="1157" w:name="_Toc358619385"/>
      <w:bookmarkStart w:id="1158" w:name="_Toc358620650"/>
      <w:bookmarkStart w:id="1159" w:name="_Toc358621857"/>
      <w:bookmarkStart w:id="1160" w:name="_Toc358622834"/>
      <w:bookmarkStart w:id="1161" w:name="_Toc26357128"/>
      <w:bookmarkStart w:id="1162" w:name="_Toc138664917"/>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Pr="00257F13">
        <w:t>Índices de actividad</w:t>
      </w:r>
      <w:bookmarkEnd w:id="1155"/>
      <w:bookmarkEnd w:id="1156"/>
      <w:bookmarkEnd w:id="1157"/>
      <w:bookmarkEnd w:id="1158"/>
      <w:bookmarkEnd w:id="1159"/>
      <w:bookmarkEnd w:id="1160"/>
      <w:bookmarkEnd w:id="1161"/>
      <w:r w:rsidR="0020490F">
        <w:t xml:space="preserve"> (en millones de colones)</w:t>
      </w:r>
      <w:bookmarkEnd w:id="1162"/>
    </w:p>
    <w:p w14:paraId="6FCA2243" w14:textId="77777777" w:rsidR="00A65F5F" w:rsidRDefault="00A65F5F" w:rsidP="00A65F5F"/>
    <w:p w14:paraId="38914AC5" w14:textId="77777777" w:rsidR="00A65F5F" w:rsidRPr="0060084E" w:rsidRDefault="00A65F5F" w:rsidP="00A65F5F">
      <w:pPr>
        <w:pStyle w:val="Ttulo4"/>
      </w:pPr>
      <w:r w:rsidRPr="00752386">
        <w:t>2.3.3</w:t>
      </w:r>
      <w:r w:rsidRPr="00412768">
        <w:t>.1 Utilidad neta más gastos financieros a gastos financieros (</w:t>
      </w:r>
      <w:r w:rsidR="00F93266" w:rsidRPr="00412768">
        <w:t>veces</w:t>
      </w:r>
      <w:r w:rsidRPr="00412768">
        <w:t>)</w:t>
      </w:r>
    </w:p>
    <w:p w14:paraId="38EE26BB" w14:textId="77777777" w:rsidR="00A65F5F" w:rsidRPr="008940A7" w:rsidRDefault="00A65F5F" w:rsidP="00A65F5F">
      <w:pPr>
        <w:ind w:left="-709"/>
        <w:rPr>
          <w:rFonts w:ascii="Arial" w:hAnsi="Arial" w:cs="Arial"/>
          <w:bCs/>
          <w:sz w:val="22"/>
          <w:szCs w:val="26"/>
        </w:rPr>
      </w:pPr>
    </w:p>
    <w:p w14:paraId="2350B27F" w14:textId="6DADC6EC" w:rsidR="00A65F5F" w:rsidRDefault="00A65F5F" w:rsidP="00A65F5F">
      <w:pPr>
        <w:ind w:left="-709"/>
      </w:pPr>
      <w:r>
        <w:t xml:space="preserve">Este indicador muestra el índice de cobertura de la carga financiera de la entidad. Indica el número de veces que las utilidades generadas </w:t>
      </w:r>
      <w:r w:rsidRPr="00E56F34">
        <w:t>antes</w:t>
      </w:r>
      <w:r>
        <w:t xml:space="preserve"> de los gastos </w:t>
      </w:r>
      <w:r w:rsidR="005C4A51">
        <w:t>financieros</w:t>
      </w:r>
      <w:r>
        <w:t xml:space="preserve"> cubren la carga financiera de las deudas adquiridas. </w:t>
      </w:r>
    </w:p>
    <w:p w14:paraId="69DC6E74" w14:textId="77777777" w:rsidR="00E21FFD" w:rsidRDefault="00E21FFD" w:rsidP="00A65F5F">
      <w:pPr>
        <w:ind w:left="-709"/>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4100A8" w:rsidRPr="004100A8" w14:paraId="38758291" w14:textId="77777777" w:rsidTr="004100A8">
        <w:trPr>
          <w:trHeight w:val="310"/>
          <w:jc w:val="center"/>
        </w:trPr>
        <w:tc>
          <w:tcPr>
            <w:tcW w:w="4496" w:type="dxa"/>
            <w:tcBorders>
              <w:top w:val="nil"/>
              <w:left w:val="nil"/>
              <w:bottom w:val="nil"/>
              <w:right w:val="nil"/>
            </w:tcBorders>
            <w:shd w:val="clear" w:color="000000" w:fill="333F4F"/>
            <w:noWrap/>
            <w:vAlign w:val="bottom"/>
            <w:hideMark/>
          </w:tcPr>
          <w:p w14:paraId="150F2B64" w14:textId="77777777" w:rsidR="004100A8" w:rsidRPr="004100A8" w:rsidRDefault="004100A8" w:rsidP="004100A8">
            <w:pPr>
              <w:ind w:right="0"/>
              <w:jc w:val="left"/>
              <w:rPr>
                <w:rFonts w:ascii="Calibri" w:hAnsi="Calibri" w:cs="Calibri"/>
                <w:color w:val="000000"/>
                <w:sz w:val="22"/>
                <w:szCs w:val="22"/>
                <w:lang w:val="es-419" w:eastAsia="es-419"/>
              </w:rPr>
            </w:pPr>
            <w:r w:rsidRPr="004100A8">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02005F4B" w14:textId="77777777" w:rsidR="004100A8" w:rsidRPr="004100A8" w:rsidRDefault="004100A8" w:rsidP="004100A8">
            <w:pPr>
              <w:ind w:right="0"/>
              <w:jc w:val="center"/>
              <w:rPr>
                <w:b/>
                <w:bCs/>
                <w:color w:val="FFFFFF"/>
                <w:lang w:val="es-419" w:eastAsia="es-419"/>
              </w:rPr>
            </w:pPr>
            <w:r w:rsidRPr="004100A8">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63546A0E" w14:textId="77777777" w:rsidR="004100A8" w:rsidRPr="004100A8" w:rsidRDefault="004100A8" w:rsidP="004100A8">
            <w:pPr>
              <w:ind w:right="0"/>
              <w:jc w:val="center"/>
              <w:rPr>
                <w:b/>
                <w:bCs/>
                <w:color w:val="FFFFFF"/>
                <w:lang w:val="es-419" w:eastAsia="es-419"/>
              </w:rPr>
            </w:pPr>
            <w:r w:rsidRPr="004100A8">
              <w:rPr>
                <w:b/>
                <w:bCs/>
                <w:color w:val="FFFFFF"/>
                <w:lang w:val="es-419" w:eastAsia="es-419"/>
              </w:rPr>
              <w:t>dic-22</w:t>
            </w:r>
          </w:p>
        </w:tc>
      </w:tr>
      <w:tr w:rsidR="004100A8" w:rsidRPr="004100A8" w14:paraId="71416A97" w14:textId="77777777" w:rsidTr="004100A8">
        <w:trPr>
          <w:trHeight w:val="610"/>
          <w:jc w:val="center"/>
        </w:trPr>
        <w:tc>
          <w:tcPr>
            <w:tcW w:w="4496" w:type="dxa"/>
            <w:tcBorders>
              <w:top w:val="nil"/>
              <w:left w:val="nil"/>
              <w:bottom w:val="single" w:sz="4" w:space="0" w:color="auto"/>
              <w:right w:val="nil"/>
            </w:tcBorders>
            <w:shd w:val="clear" w:color="auto" w:fill="auto"/>
            <w:vAlign w:val="bottom"/>
            <w:hideMark/>
          </w:tcPr>
          <w:p w14:paraId="0F1EB93D" w14:textId="77777777" w:rsidR="004100A8" w:rsidRPr="004100A8" w:rsidRDefault="004100A8" w:rsidP="004100A8">
            <w:pPr>
              <w:ind w:right="0"/>
              <w:jc w:val="left"/>
              <w:rPr>
                <w:b/>
                <w:bCs/>
                <w:color w:val="000000"/>
                <w:lang w:val="es-419" w:eastAsia="es-419"/>
              </w:rPr>
            </w:pPr>
            <w:r w:rsidRPr="004100A8">
              <w:rPr>
                <w:b/>
                <w:bCs/>
                <w:color w:val="000000"/>
                <w:lang w:val="es-419" w:eastAsia="es-419"/>
              </w:rPr>
              <w:t>Utilidad Neta más Gastos Financieros a Gastos Financieros</w:t>
            </w:r>
          </w:p>
        </w:tc>
        <w:tc>
          <w:tcPr>
            <w:tcW w:w="1476" w:type="dxa"/>
            <w:tcBorders>
              <w:top w:val="nil"/>
              <w:left w:val="single" w:sz="4" w:space="0" w:color="auto"/>
              <w:bottom w:val="single" w:sz="4" w:space="0" w:color="auto"/>
              <w:right w:val="nil"/>
            </w:tcBorders>
            <w:shd w:val="clear" w:color="auto" w:fill="auto"/>
            <w:noWrap/>
            <w:vAlign w:val="center"/>
            <w:hideMark/>
          </w:tcPr>
          <w:p w14:paraId="28B5145B" w14:textId="77777777" w:rsidR="004100A8" w:rsidRPr="004100A8" w:rsidRDefault="004100A8" w:rsidP="004100A8">
            <w:pPr>
              <w:ind w:right="0"/>
              <w:jc w:val="center"/>
              <w:rPr>
                <w:b/>
                <w:bCs/>
                <w:color w:val="000000"/>
                <w:sz w:val="20"/>
                <w:szCs w:val="20"/>
                <w:lang w:val="es-419" w:eastAsia="es-419"/>
              </w:rPr>
            </w:pPr>
            <w:r w:rsidRPr="004100A8">
              <w:rPr>
                <w:b/>
                <w:bCs/>
                <w:color w:val="000000"/>
                <w:sz w:val="20"/>
                <w:szCs w:val="20"/>
                <w:lang w:val="es-419" w:eastAsia="es-419"/>
              </w:rPr>
              <w:t xml:space="preserve">                   0,63 </w:t>
            </w:r>
          </w:p>
        </w:tc>
        <w:tc>
          <w:tcPr>
            <w:tcW w:w="1476" w:type="dxa"/>
            <w:tcBorders>
              <w:top w:val="nil"/>
              <w:left w:val="single" w:sz="4" w:space="0" w:color="auto"/>
              <w:bottom w:val="single" w:sz="4" w:space="0" w:color="auto"/>
              <w:right w:val="nil"/>
            </w:tcBorders>
            <w:shd w:val="clear" w:color="auto" w:fill="auto"/>
            <w:noWrap/>
            <w:vAlign w:val="center"/>
            <w:hideMark/>
          </w:tcPr>
          <w:p w14:paraId="45DAAD91" w14:textId="77777777" w:rsidR="004100A8" w:rsidRPr="004100A8" w:rsidRDefault="004100A8" w:rsidP="004100A8">
            <w:pPr>
              <w:ind w:right="0"/>
              <w:jc w:val="center"/>
              <w:rPr>
                <w:b/>
                <w:bCs/>
                <w:color w:val="000000"/>
                <w:sz w:val="20"/>
                <w:szCs w:val="20"/>
                <w:lang w:val="es-419" w:eastAsia="es-419"/>
              </w:rPr>
            </w:pPr>
            <w:r w:rsidRPr="004100A8">
              <w:rPr>
                <w:b/>
                <w:bCs/>
                <w:color w:val="000000"/>
                <w:sz w:val="20"/>
                <w:szCs w:val="20"/>
                <w:lang w:val="es-419" w:eastAsia="es-419"/>
              </w:rPr>
              <w:t xml:space="preserve">                   1,80 </w:t>
            </w:r>
          </w:p>
        </w:tc>
      </w:tr>
      <w:tr w:rsidR="004100A8" w:rsidRPr="004100A8" w14:paraId="28174DD6" w14:textId="77777777" w:rsidTr="004100A8">
        <w:trPr>
          <w:trHeight w:val="290"/>
          <w:jc w:val="center"/>
        </w:trPr>
        <w:tc>
          <w:tcPr>
            <w:tcW w:w="4496" w:type="dxa"/>
            <w:tcBorders>
              <w:top w:val="nil"/>
              <w:left w:val="nil"/>
              <w:bottom w:val="dashed" w:sz="4" w:space="0" w:color="auto"/>
              <w:right w:val="nil"/>
            </w:tcBorders>
            <w:shd w:val="clear" w:color="auto" w:fill="auto"/>
            <w:noWrap/>
            <w:vAlign w:val="bottom"/>
            <w:hideMark/>
          </w:tcPr>
          <w:p w14:paraId="75A317AA"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a) Utilidad neta</w:t>
            </w:r>
          </w:p>
        </w:tc>
        <w:tc>
          <w:tcPr>
            <w:tcW w:w="1476" w:type="dxa"/>
            <w:tcBorders>
              <w:top w:val="nil"/>
              <w:left w:val="single" w:sz="4" w:space="0" w:color="auto"/>
              <w:bottom w:val="dotted" w:sz="4" w:space="0" w:color="auto"/>
              <w:right w:val="nil"/>
            </w:tcBorders>
            <w:shd w:val="clear" w:color="000000" w:fill="FFFFFF"/>
            <w:noWrap/>
            <w:vAlign w:val="bottom"/>
            <w:hideMark/>
          </w:tcPr>
          <w:p w14:paraId="0CCFDBDB"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 xml:space="preserve">             (93 033)</w:t>
            </w:r>
          </w:p>
        </w:tc>
        <w:tc>
          <w:tcPr>
            <w:tcW w:w="1476" w:type="dxa"/>
            <w:tcBorders>
              <w:top w:val="nil"/>
              <w:left w:val="single" w:sz="4" w:space="0" w:color="auto"/>
              <w:bottom w:val="dotted" w:sz="4" w:space="0" w:color="auto"/>
              <w:right w:val="nil"/>
            </w:tcBorders>
            <w:shd w:val="clear" w:color="000000" w:fill="FFFFFF"/>
            <w:noWrap/>
            <w:vAlign w:val="bottom"/>
            <w:hideMark/>
          </w:tcPr>
          <w:p w14:paraId="1D322738"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 xml:space="preserve">             191 019 </w:t>
            </w:r>
          </w:p>
        </w:tc>
      </w:tr>
      <w:tr w:rsidR="004100A8" w:rsidRPr="004100A8" w14:paraId="78D00562" w14:textId="77777777" w:rsidTr="004100A8">
        <w:trPr>
          <w:trHeight w:val="300"/>
          <w:jc w:val="center"/>
        </w:trPr>
        <w:tc>
          <w:tcPr>
            <w:tcW w:w="4496" w:type="dxa"/>
            <w:tcBorders>
              <w:top w:val="nil"/>
              <w:left w:val="nil"/>
              <w:bottom w:val="double" w:sz="6" w:space="0" w:color="auto"/>
              <w:right w:val="nil"/>
            </w:tcBorders>
            <w:shd w:val="clear" w:color="auto" w:fill="auto"/>
            <w:noWrap/>
            <w:vAlign w:val="bottom"/>
            <w:hideMark/>
          </w:tcPr>
          <w:p w14:paraId="2111D0F4"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b) Gastos Financieros</w:t>
            </w:r>
          </w:p>
        </w:tc>
        <w:tc>
          <w:tcPr>
            <w:tcW w:w="1476" w:type="dxa"/>
            <w:tcBorders>
              <w:top w:val="nil"/>
              <w:left w:val="single" w:sz="4" w:space="0" w:color="auto"/>
              <w:bottom w:val="double" w:sz="6" w:space="0" w:color="auto"/>
              <w:right w:val="nil"/>
            </w:tcBorders>
            <w:shd w:val="clear" w:color="000000" w:fill="FFFFFF"/>
            <w:noWrap/>
            <w:vAlign w:val="bottom"/>
            <w:hideMark/>
          </w:tcPr>
          <w:p w14:paraId="4389DBAF"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 xml:space="preserve">             248 898 </w:t>
            </w:r>
          </w:p>
        </w:tc>
        <w:tc>
          <w:tcPr>
            <w:tcW w:w="1476" w:type="dxa"/>
            <w:tcBorders>
              <w:top w:val="nil"/>
              <w:left w:val="single" w:sz="4" w:space="0" w:color="auto"/>
              <w:bottom w:val="double" w:sz="6" w:space="0" w:color="auto"/>
              <w:right w:val="nil"/>
            </w:tcBorders>
            <w:shd w:val="clear" w:color="000000" w:fill="FFFFFF"/>
            <w:noWrap/>
            <w:vAlign w:val="bottom"/>
            <w:hideMark/>
          </w:tcPr>
          <w:p w14:paraId="1ABDA783" w14:textId="77777777" w:rsidR="004100A8" w:rsidRPr="004100A8" w:rsidRDefault="004100A8" w:rsidP="004100A8">
            <w:pPr>
              <w:ind w:right="0"/>
              <w:jc w:val="left"/>
              <w:rPr>
                <w:color w:val="000000"/>
                <w:sz w:val="20"/>
                <w:szCs w:val="20"/>
                <w:lang w:val="es-419" w:eastAsia="es-419"/>
              </w:rPr>
            </w:pPr>
            <w:r w:rsidRPr="004100A8">
              <w:rPr>
                <w:color w:val="000000"/>
                <w:sz w:val="20"/>
                <w:szCs w:val="20"/>
                <w:lang w:val="es-419" w:eastAsia="es-419"/>
              </w:rPr>
              <w:t xml:space="preserve">             240 135 </w:t>
            </w:r>
          </w:p>
        </w:tc>
      </w:tr>
    </w:tbl>
    <w:p w14:paraId="405864C4" w14:textId="77777777" w:rsidR="00D7382A" w:rsidRDefault="00D7382A" w:rsidP="00A65F5F">
      <w:pPr>
        <w:ind w:left="-709"/>
        <w:jc w:val="center"/>
      </w:pPr>
    </w:p>
    <w:p w14:paraId="0A5F21F7" w14:textId="31B84E4B" w:rsidR="00A65F5F" w:rsidRPr="00815BB1" w:rsidRDefault="00B622C9" w:rsidP="00B622C9">
      <w:pPr>
        <w:ind w:left="-4"/>
        <w:rPr>
          <w:sz w:val="22"/>
        </w:rPr>
      </w:pPr>
      <w:r>
        <w:rPr>
          <w:b/>
          <w:sz w:val="22"/>
        </w:rPr>
        <w:t xml:space="preserve">                  </w:t>
      </w:r>
      <w:r w:rsidR="00A65F5F" w:rsidRPr="00815BB1">
        <w:rPr>
          <w:b/>
          <w:sz w:val="22"/>
        </w:rPr>
        <w:t>Nota:</w:t>
      </w:r>
      <w:r w:rsidR="00A65F5F" w:rsidRPr="00815BB1">
        <w:rPr>
          <w:sz w:val="22"/>
        </w:rPr>
        <w:t xml:space="preserve"> Gastos Financieros incluyen gastos por </w:t>
      </w:r>
      <w:r w:rsidR="00A65F5F">
        <w:rPr>
          <w:sz w:val="22"/>
        </w:rPr>
        <w:t>i</w:t>
      </w:r>
      <w:r w:rsidR="00A65F5F" w:rsidRPr="00815BB1">
        <w:rPr>
          <w:sz w:val="22"/>
        </w:rPr>
        <w:t xml:space="preserve">ntereses, </w:t>
      </w:r>
      <w:r w:rsidR="00A65F5F">
        <w:rPr>
          <w:sz w:val="22"/>
        </w:rPr>
        <w:t>c</w:t>
      </w:r>
      <w:r w:rsidR="00A65F5F" w:rsidRPr="00815BB1">
        <w:rPr>
          <w:sz w:val="22"/>
        </w:rPr>
        <w:t xml:space="preserve">omisiones, y </w:t>
      </w:r>
      <w:r w:rsidR="00A65F5F">
        <w:rPr>
          <w:sz w:val="22"/>
        </w:rPr>
        <w:t>o</w:t>
      </w:r>
      <w:r w:rsidR="00A65F5F" w:rsidRPr="00815BB1">
        <w:rPr>
          <w:sz w:val="22"/>
        </w:rPr>
        <w:t>tros.</w:t>
      </w:r>
    </w:p>
    <w:p w14:paraId="5C030AEF" w14:textId="77777777" w:rsidR="00A65F5F" w:rsidRPr="00EE6263" w:rsidRDefault="00A65F5F" w:rsidP="00A65F5F">
      <w:pPr>
        <w:ind w:left="-709"/>
        <w:rPr>
          <w:highlight w:val="yellow"/>
        </w:rPr>
      </w:pPr>
    </w:p>
    <w:p w14:paraId="4569C2C3" w14:textId="77777777" w:rsidR="002C2BF8" w:rsidRPr="00D75232" w:rsidRDefault="002C2BF8" w:rsidP="002C2BF8">
      <w:pPr>
        <w:ind w:left="-709"/>
      </w:pPr>
      <w:r w:rsidRPr="00D75232">
        <w:t xml:space="preserve">El resultado favorable de este indicador al 31 de diciembre de 2022, muestra que el Grupo ICE tiene capacidad para cubrir en 1,80 veces sus obligaciones financieras con la utilidad neta, obtenida al cierre de este año.  </w:t>
      </w:r>
    </w:p>
    <w:p w14:paraId="29AC5239" w14:textId="77777777" w:rsidR="00A65F5F" w:rsidRPr="00A41890" w:rsidRDefault="00A65F5F" w:rsidP="00A65F5F">
      <w:pPr>
        <w:pStyle w:val="Ttulo4"/>
      </w:pPr>
      <w:r w:rsidRPr="00752386">
        <w:t>2.3.3.2 Rotación de Inventarios (Veces)</w:t>
      </w:r>
    </w:p>
    <w:p w14:paraId="52DB1691" w14:textId="77777777" w:rsidR="00A65F5F" w:rsidRPr="00A41890" w:rsidRDefault="00A65F5F" w:rsidP="00A65F5F">
      <w:pPr>
        <w:ind w:left="708" w:right="-25" w:hanging="708"/>
      </w:pPr>
    </w:p>
    <w:p w14:paraId="39FDABEB" w14:textId="77777777" w:rsidR="00A65F5F" w:rsidRPr="00A41890" w:rsidRDefault="00A65F5F" w:rsidP="00A65F5F">
      <w:pPr>
        <w:ind w:left="-709" w:right="-25"/>
      </w:pPr>
      <w:r w:rsidRPr="00A41890">
        <w:t>La rotación de inventarios refleja el número de veces que la empresa cambia su stock general de inventarios al año, así mismo permite establecer un valor comparativo del manejo del inventario a través del tiempo.</w:t>
      </w:r>
    </w:p>
    <w:p w14:paraId="53B917C8" w14:textId="77777777" w:rsidR="00A65F5F" w:rsidRPr="00A41890" w:rsidRDefault="00A65F5F" w:rsidP="00A65F5F">
      <w:pPr>
        <w:ind w:left="-709" w:right="-25"/>
      </w:pPr>
    </w:p>
    <w:p w14:paraId="7ED24372" w14:textId="77777777" w:rsidR="00A65F5F" w:rsidRPr="00A41890" w:rsidRDefault="00A65F5F" w:rsidP="00A65F5F">
      <w:pPr>
        <w:ind w:left="-709" w:right="-25"/>
      </w:pPr>
      <w:r w:rsidRPr="00A41890">
        <w:t>Días de Inventario indica la duración promedio del inventario al dividir 360 entre la rotación de inventarios. Este valor también se considera como el número promedio de días en que se vende el inventario.</w:t>
      </w:r>
    </w:p>
    <w:p w14:paraId="63726CEA" w14:textId="77777777" w:rsidR="00A65F5F" w:rsidRPr="00A41890" w:rsidRDefault="00A65F5F" w:rsidP="00A65F5F">
      <w:pPr>
        <w:ind w:left="-709" w:right="-25"/>
      </w:pPr>
    </w:p>
    <w:p w14:paraId="37C93AA1" w14:textId="67BFBED0" w:rsidR="00A65F5F" w:rsidRDefault="00A65F5F" w:rsidP="00A65F5F">
      <w:pPr>
        <w:ind w:left="-709" w:right="-25"/>
      </w:pPr>
      <w:r w:rsidRPr="00A41890">
        <w:t>Para el cálculo de este indicador se toma en consideración solo los inventarios de corto plazo, dado que los inventarios de largo plazo representan el costo de los bienes físicos que el ICE posee en sus almacenes, con el propósito de utilizarlos en la construcción de activos productivos.</w:t>
      </w:r>
    </w:p>
    <w:p w14:paraId="42081DD6" w14:textId="3834AA5F" w:rsidR="00E97E85" w:rsidRDefault="00E97E85" w:rsidP="00A65F5F">
      <w:pPr>
        <w:ind w:left="-709" w:right="-25"/>
      </w:pPr>
    </w:p>
    <w:tbl>
      <w:tblPr>
        <w:tblW w:w="7400" w:type="dxa"/>
        <w:jc w:val="center"/>
        <w:tblCellMar>
          <w:left w:w="0" w:type="dxa"/>
          <w:right w:w="0" w:type="dxa"/>
        </w:tblCellMar>
        <w:tblLook w:val="04A0" w:firstRow="1" w:lastRow="0" w:firstColumn="1" w:lastColumn="0" w:noHBand="0" w:noVBand="1"/>
      </w:tblPr>
      <w:tblGrid>
        <w:gridCol w:w="4496"/>
        <w:gridCol w:w="1476"/>
        <w:gridCol w:w="1476"/>
      </w:tblGrid>
      <w:tr w:rsidR="00E26C40" w14:paraId="3B53856D" w14:textId="77777777" w:rsidTr="00E26C40">
        <w:trPr>
          <w:trHeight w:val="310"/>
          <w:jc w:val="center"/>
        </w:trPr>
        <w:tc>
          <w:tcPr>
            <w:tcW w:w="4480" w:type="dxa"/>
            <w:tcBorders>
              <w:top w:val="nil"/>
              <w:left w:val="nil"/>
              <w:bottom w:val="nil"/>
              <w:right w:val="nil"/>
            </w:tcBorders>
            <w:shd w:val="clear" w:color="000000" w:fill="333F4F"/>
            <w:noWrap/>
            <w:vAlign w:val="bottom"/>
            <w:hideMark/>
          </w:tcPr>
          <w:p w14:paraId="0EFAB1D6" w14:textId="77777777" w:rsidR="00E26C40" w:rsidRDefault="00E26C40">
            <w:pPr>
              <w:ind w:right="0"/>
              <w:jc w:val="left"/>
              <w:rPr>
                <w:rFonts w:ascii="Calibri" w:hAnsi="Calibri" w:cs="Calibri"/>
                <w:color w:val="000000"/>
                <w:sz w:val="22"/>
                <w:szCs w:val="22"/>
                <w:lang w:val="es-419" w:eastAsia="es-419"/>
              </w:rPr>
            </w:pPr>
            <w:r>
              <w:rPr>
                <w:rFonts w:ascii="Calibri" w:hAnsi="Calibri" w:cs="Calibri"/>
                <w:color w:val="000000"/>
                <w:sz w:val="22"/>
                <w:szCs w:val="22"/>
              </w:rPr>
              <w:t> </w:t>
            </w:r>
          </w:p>
        </w:tc>
        <w:tc>
          <w:tcPr>
            <w:tcW w:w="1460" w:type="dxa"/>
            <w:tcBorders>
              <w:top w:val="nil"/>
              <w:left w:val="nil"/>
              <w:bottom w:val="nil"/>
              <w:right w:val="nil"/>
            </w:tcBorders>
            <w:shd w:val="clear" w:color="000000" w:fill="333F4F"/>
            <w:noWrap/>
            <w:vAlign w:val="bottom"/>
            <w:hideMark/>
          </w:tcPr>
          <w:p w14:paraId="42851CC8" w14:textId="77777777" w:rsidR="00E26C40" w:rsidRDefault="00E26C40">
            <w:pPr>
              <w:jc w:val="center"/>
              <w:rPr>
                <w:b/>
                <w:bCs/>
                <w:color w:val="FFFFFF"/>
              </w:rPr>
            </w:pPr>
            <w:r>
              <w:rPr>
                <w:b/>
                <w:bCs/>
                <w:color w:val="FFFFFF"/>
              </w:rPr>
              <w:t>dic-21</w:t>
            </w:r>
          </w:p>
        </w:tc>
        <w:tc>
          <w:tcPr>
            <w:tcW w:w="1460" w:type="dxa"/>
            <w:tcBorders>
              <w:top w:val="nil"/>
              <w:left w:val="nil"/>
              <w:bottom w:val="nil"/>
              <w:right w:val="nil"/>
            </w:tcBorders>
            <w:shd w:val="clear" w:color="000000" w:fill="333F4F"/>
            <w:noWrap/>
            <w:vAlign w:val="bottom"/>
            <w:hideMark/>
          </w:tcPr>
          <w:p w14:paraId="07AE0DC9" w14:textId="77777777" w:rsidR="00E26C40" w:rsidRDefault="00E26C40">
            <w:pPr>
              <w:jc w:val="center"/>
              <w:rPr>
                <w:b/>
                <w:bCs/>
                <w:color w:val="FFFFFF"/>
              </w:rPr>
            </w:pPr>
            <w:r>
              <w:rPr>
                <w:b/>
                <w:bCs/>
                <w:color w:val="FFFFFF"/>
              </w:rPr>
              <w:t>dic-22</w:t>
            </w:r>
          </w:p>
        </w:tc>
      </w:tr>
      <w:tr w:rsidR="00E26C40" w14:paraId="2B25257F" w14:textId="77777777" w:rsidTr="00E26C40">
        <w:trPr>
          <w:trHeight w:val="310"/>
          <w:jc w:val="center"/>
        </w:trPr>
        <w:tc>
          <w:tcPr>
            <w:tcW w:w="4480" w:type="dxa"/>
            <w:tcBorders>
              <w:top w:val="nil"/>
              <w:left w:val="nil"/>
              <w:bottom w:val="single" w:sz="4" w:space="0" w:color="auto"/>
              <w:right w:val="nil"/>
            </w:tcBorders>
            <w:shd w:val="clear" w:color="auto" w:fill="auto"/>
            <w:vAlign w:val="bottom"/>
            <w:hideMark/>
          </w:tcPr>
          <w:p w14:paraId="0E32834A" w14:textId="77777777" w:rsidR="00E26C40" w:rsidRDefault="00E26C40">
            <w:pPr>
              <w:jc w:val="left"/>
              <w:rPr>
                <w:b/>
                <w:bCs/>
                <w:color w:val="000000"/>
              </w:rPr>
            </w:pPr>
            <w:r>
              <w:rPr>
                <w:b/>
                <w:bCs/>
                <w:color w:val="000000"/>
              </w:rPr>
              <w:t>Rotación de inventarios (a/b)</w:t>
            </w:r>
          </w:p>
        </w:tc>
        <w:tc>
          <w:tcPr>
            <w:tcW w:w="0" w:type="auto"/>
            <w:tcBorders>
              <w:top w:val="nil"/>
              <w:left w:val="single" w:sz="4" w:space="0" w:color="auto"/>
              <w:bottom w:val="single" w:sz="4" w:space="0" w:color="auto"/>
              <w:right w:val="nil"/>
            </w:tcBorders>
            <w:shd w:val="clear" w:color="auto" w:fill="auto"/>
            <w:noWrap/>
            <w:vAlign w:val="center"/>
            <w:hideMark/>
          </w:tcPr>
          <w:p w14:paraId="42E35572" w14:textId="77777777" w:rsidR="00E26C40" w:rsidRDefault="00E26C40">
            <w:pPr>
              <w:jc w:val="center"/>
              <w:rPr>
                <w:b/>
                <w:bCs/>
                <w:color w:val="000000"/>
                <w:sz w:val="20"/>
                <w:szCs w:val="20"/>
              </w:rPr>
            </w:pPr>
            <w:r>
              <w:rPr>
                <w:b/>
                <w:bCs/>
                <w:color w:val="000000"/>
                <w:sz w:val="20"/>
                <w:szCs w:val="20"/>
              </w:rPr>
              <w:t xml:space="preserve">                   17,3 </w:t>
            </w:r>
          </w:p>
        </w:tc>
        <w:tc>
          <w:tcPr>
            <w:tcW w:w="0" w:type="auto"/>
            <w:tcBorders>
              <w:top w:val="nil"/>
              <w:left w:val="single" w:sz="4" w:space="0" w:color="auto"/>
              <w:bottom w:val="single" w:sz="4" w:space="0" w:color="auto"/>
              <w:right w:val="nil"/>
            </w:tcBorders>
            <w:shd w:val="clear" w:color="auto" w:fill="auto"/>
            <w:noWrap/>
            <w:vAlign w:val="center"/>
            <w:hideMark/>
          </w:tcPr>
          <w:p w14:paraId="2651CCA9" w14:textId="77777777" w:rsidR="00E26C40" w:rsidRDefault="00E26C40">
            <w:pPr>
              <w:jc w:val="center"/>
              <w:rPr>
                <w:b/>
                <w:bCs/>
                <w:color w:val="000000"/>
                <w:sz w:val="20"/>
                <w:szCs w:val="20"/>
              </w:rPr>
            </w:pPr>
            <w:r>
              <w:rPr>
                <w:b/>
                <w:bCs/>
                <w:color w:val="000000"/>
                <w:sz w:val="20"/>
                <w:szCs w:val="20"/>
              </w:rPr>
              <w:t xml:space="preserve">                   19,0 </w:t>
            </w:r>
          </w:p>
        </w:tc>
      </w:tr>
      <w:tr w:rsidR="00E26C40" w14:paraId="660AF1AB" w14:textId="77777777" w:rsidTr="00E26C40">
        <w:trPr>
          <w:trHeight w:val="290"/>
          <w:jc w:val="center"/>
        </w:trPr>
        <w:tc>
          <w:tcPr>
            <w:tcW w:w="0" w:type="auto"/>
            <w:tcBorders>
              <w:top w:val="nil"/>
              <w:left w:val="nil"/>
              <w:bottom w:val="dashed" w:sz="4" w:space="0" w:color="auto"/>
              <w:right w:val="nil"/>
            </w:tcBorders>
            <w:shd w:val="clear" w:color="auto" w:fill="auto"/>
            <w:noWrap/>
            <w:vAlign w:val="bottom"/>
            <w:hideMark/>
          </w:tcPr>
          <w:p w14:paraId="4B1C3228" w14:textId="77777777" w:rsidR="00E26C40" w:rsidRDefault="00E26C40">
            <w:pPr>
              <w:jc w:val="left"/>
              <w:rPr>
                <w:color w:val="000000"/>
                <w:sz w:val="20"/>
                <w:szCs w:val="20"/>
              </w:rPr>
            </w:pPr>
            <w:r>
              <w:rPr>
                <w:color w:val="000000"/>
                <w:sz w:val="20"/>
                <w:szCs w:val="20"/>
              </w:rPr>
              <w:t>a) Compras</w:t>
            </w:r>
          </w:p>
        </w:tc>
        <w:tc>
          <w:tcPr>
            <w:tcW w:w="0" w:type="auto"/>
            <w:tcBorders>
              <w:top w:val="nil"/>
              <w:left w:val="single" w:sz="4" w:space="0" w:color="auto"/>
              <w:bottom w:val="dotted" w:sz="4" w:space="0" w:color="auto"/>
              <w:right w:val="nil"/>
            </w:tcBorders>
            <w:shd w:val="clear" w:color="auto" w:fill="auto"/>
            <w:noWrap/>
            <w:vAlign w:val="bottom"/>
            <w:hideMark/>
          </w:tcPr>
          <w:p w14:paraId="13BD0B24" w14:textId="77777777" w:rsidR="00E26C40" w:rsidRDefault="00E26C40">
            <w:pPr>
              <w:rPr>
                <w:color w:val="000000"/>
                <w:sz w:val="20"/>
                <w:szCs w:val="20"/>
              </w:rPr>
            </w:pPr>
            <w:r>
              <w:rPr>
                <w:color w:val="000000"/>
                <w:sz w:val="20"/>
                <w:szCs w:val="20"/>
              </w:rPr>
              <w:t xml:space="preserve">             788 286 </w:t>
            </w:r>
          </w:p>
        </w:tc>
        <w:tc>
          <w:tcPr>
            <w:tcW w:w="0" w:type="auto"/>
            <w:tcBorders>
              <w:top w:val="nil"/>
              <w:left w:val="single" w:sz="4" w:space="0" w:color="auto"/>
              <w:bottom w:val="dotted" w:sz="4" w:space="0" w:color="auto"/>
              <w:right w:val="nil"/>
            </w:tcBorders>
            <w:shd w:val="clear" w:color="auto" w:fill="auto"/>
            <w:noWrap/>
            <w:vAlign w:val="bottom"/>
            <w:hideMark/>
          </w:tcPr>
          <w:p w14:paraId="5661190D" w14:textId="77777777" w:rsidR="00E26C40" w:rsidRDefault="00E26C40">
            <w:pPr>
              <w:rPr>
                <w:color w:val="000000"/>
                <w:sz w:val="20"/>
                <w:szCs w:val="20"/>
              </w:rPr>
            </w:pPr>
            <w:r>
              <w:rPr>
                <w:color w:val="000000"/>
                <w:sz w:val="20"/>
                <w:szCs w:val="20"/>
              </w:rPr>
              <w:t xml:space="preserve">             857 160 </w:t>
            </w:r>
          </w:p>
        </w:tc>
      </w:tr>
      <w:tr w:rsidR="00E26C40" w14:paraId="5B0C4598" w14:textId="77777777" w:rsidTr="00E26C40">
        <w:trPr>
          <w:trHeight w:val="290"/>
          <w:jc w:val="center"/>
        </w:trPr>
        <w:tc>
          <w:tcPr>
            <w:tcW w:w="0" w:type="auto"/>
            <w:tcBorders>
              <w:top w:val="nil"/>
              <w:left w:val="nil"/>
              <w:bottom w:val="single" w:sz="4" w:space="0" w:color="auto"/>
              <w:right w:val="nil"/>
            </w:tcBorders>
            <w:shd w:val="clear" w:color="auto" w:fill="auto"/>
            <w:noWrap/>
            <w:vAlign w:val="bottom"/>
            <w:hideMark/>
          </w:tcPr>
          <w:p w14:paraId="4CE6272E" w14:textId="77777777" w:rsidR="00E26C40" w:rsidRDefault="00E26C40">
            <w:pPr>
              <w:rPr>
                <w:color w:val="000000"/>
                <w:sz w:val="20"/>
                <w:szCs w:val="20"/>
              </w:rPr>
            </w:pPr>
            <w:r>
              <w:rPr>
                <w:color w:val="000000"/>
                <w:sz w:val="20"/>
                <w:szCs w:val="20"/>
              </w:rPr>
              <w:t>b) Promedio de inventarios</w:t>
            </w:r>
          </w:p>
        </w:tc>
        <w:tc>
          <w:tcPr>
            <w:tcW w:w="0" w:type="auto"/>
            <w:tcBorders>
              <w:top w:val="nil"/>
              <w:left w:val="single" w:sz="4" w:space="0" w:color="auto"/>
              <w:bottom w:val="single" w:sz="4" w:space="0" w:color="auto"/>
              <w:right w:val="nil"/>
            </w:tcBorders>
            <w:shd w:val="clear" w:color="auto" w:fill="auto"/>
            <w:noWrap/>
            <w:vAlign w:val="bottom"/>
            <w:hideMark/>
          </w:tcPr>
          <w:p w14:paraId="3479E56E" w14:textId="77777777" w:rsidR="00E26C40" w:rsidRDefault="00E26C40">
            <w:pPr>
              <w:rPr>
                <w:color w:val="000000"/>
                <w:sz w:val="20"/>
                <w:szCs w:val="20"/>
              </w:rPr>
            </w:pPr>
            <w:r>
              <w:rPr>
                <w:color w:val="000000"/>
                <w:sz w:val="20"/>
                <w:szCs w:val="20"/>
              </w:rPr>
              <w:t xml:space="preserve">               45 639 </w:t>
            </w:r>
          </w:p>
        </w:tc>
        <w:tc>
          <w:tcPr>
            <w:tcW w:w="0" w:type="auto"/>
            <w:tcBorders>
              <w:top w:val="nil"/>
              <w:left w:val="single" w:sz="4" w:space="0" w:color="auto"/>
              <w:bottom w:val="single" w:sz="4" w:space="0" w:color="auto"/>
              <w:right w:val="nil"/>
            </w:tcBorders>
            <w:shd w:val="clear" w:color="auto" w:fill="auto"/>
            <w:noWrap/>
            <w:vAlign w:val="bottom"/>
            <w:hideMark/>
          </w:tcPr>
          <w:p w14:paraId="43637F02" w14:textId="77777777" w:rsidR="00E26C40" w:rsidRDefault="00E26C40">
            <w:pPr>
              <w:rPr>
                <w:color w:val="000000"/>
                <w:sz w:val="20"/>
                <w:szCs w:val="20"/>
              </w:rPr>
            </w:pPr>
            <w:r>
              <w:rPr>
                <w:color w:val="000000"/>
                <w:sz w:val="20"/>
                <w:szCs w:val="20"/>
              </w:rPr>
              <w:t xml:space="preserve">               45 101 </w:t>
            </w:r>
          </w:p>
        </w:tc>
      </w:tr>
      <w:tr w:rsidR="00E26C40" w14:paraId="1A4929FD" w14:textId="77777777" w:rsidTr="00E26C40">
        <w:trPr>
          <w:trHeight w:val="320"/>
          <w:jc w:val="center"/>
        </w:trPr>
        <w:tc>
          <w:tcPr>
            <w:tcW w:w="4480" w:type="dxa"/>
            <w:tcBorders>
              <w:top w:val="nil"/>
              <w:left w:val="nil"/>
              <w:bottom w:val="double" w:sz="6" w:space="0" w:color="auto"/>
              <w:right w:val="nil"/>
            </w:tcBorders>
            <w:shd w:val="clear" w:color="auto" w:fill="auto"/>
            <w:vAlign w:val="bottom"/>
            <w:hideMark/>
          </w:tcPr>
          <w:p w14:paraId="00D6B835" w14:textId="77777777" w:rsidR="00E26C40" w:rsidRDefault="00E26C40">
            <w:pPr>
              <w:rPr>
                <w:b/>
                <w:bCs/>
                <w:color w:val="000000"/>
              </w:rPr>
            </w:pPr>
            <w:r>
              <w:rPr>
                <w:b/>
                <w:bCs/>
                <w:color w:val="000000"/>
              </w:rPr>
              <w:t>Días inventario</w:t>
            </w:r>
          </w:p>
        </w:tc>
        <w:tc>
          <w:tcPr>
            <w:tcW w:w="1460" w:type="dxa"/>
            <w:tcBorders>
              <w:top w:val="nil"/>
              <w:left w:val="single" w:sz="4" w:space="0" w:color="auto"/>
              <w:bottom w:val="double" w:sz="6" w:space="0" w:color="auto"/>
              <w:right w:val="nil"/>
            </w:tcBorders>
            <w:shd w:val="clear" w:color="auto" w:fill="auto"/>
            <w:vAlign w:val="bottom"/>
            <w:hideMark/>
          </w:tcPr>
          <w:p w14:paraId="48657084" w14:textId="77777777" w:rsidR="00E26C40" w:rsidRDefault="00E26C40">
            <w:pPr>
              <w:rPr>
                <w:rFonts w:ascii="Calibri" w:hAnsi="Calibri" w:cs="Calibri"/>
                <w:b/>
                <w:bCs/>
                <w:color w:val="000000"/>
                <w:sz w:val="22"/>
                <w:szCs w:val="22"/>
              </w:rPr>
            </w:pPr>
            <w:r>
              <w:rPr>
                <w:rFonts w:ascii="Calibri" w:hAnsi="Calibri" w:cs="Calibri"/>
                <w:b/>
                <w:bCs/>
                <w:color w:val="000000"/>
                <w:sz w:val="22"/>
                <w:szCs w:val="22"/>
              </w:rPr>
              <w:t xml:space="preserve">                      21 </w:t>
            </w:r>
          </w:p>
        </w:tc>
        <w:tc>
          <w:tcPr>
            <w:tcW w:w="1460" w:type="dxa"/>
            <w:tcBorders>
              <w:top w:val="nil"/>
              <w:left w:val="single" w:sz="4" w:space="0" w:color="auto"/>
              <w:bottom w:val="double" w:sz="6" w:space="0" w:color="auto"/>
              <w:right w:val="nil"/>
            </w:tcBorders>
            <w:shd w:val="clear" w:color="auto" w:fill="auto"/>
            <w:vAlign w:val="bottom"/>
            <w:hideMark/>
          </w:tcPr>
          <w:p w14:paraId="769A58AF" w14:textId="77777777" w:rsidR="00E26C40" w:rsidRDefault="00E26C40">
            <w:pPr>
              <w:rPr>
                <w:rFonts w:ascii="Calibri" w:hAnsi="Calibri" w:cs="Calibri"/>
                <w:b/>
                <w:bCs/>
                <w:color w:val="000000"/>
                <w:sz w:val="22"/>
                <w:szCs w:val="22"/>
              </w:rPr>
            </w:pPr>
            <w:r>
              <w:rPr>
                <w:rFonts w:ascii="Calibri" w:hAnsi="Calibri" w:cs="Calibri"/>
                <w:b/>
                <w:bCs/>
                <w:color w:val="000000"/>
                <w:sz w:val="22"/>
                <w:szCs w:val="22"/>
              </w:rPr>
              <w:t xml:space="preserve">                      19 </w:t>
            </w:r>
          </w:p>
        </w:tc>
      </w:tr>
    </w:tbl>
    <w:p w14:paraId="385D7D1A" w14:textId="03DC7E7E" w:rsidR="00A65F5F" w:rsidRPr="00D4533E" w:rsidRDefault="00E26C40" w:rsidP="00A65F5F">
      <w:pPr>
        <w:ind w:right="-25"/>
        <w:rPr>
          <w:sz w:val="20"/>
          <w:szCs w:val="20"/>
        </w:rPr>
      </w:pPr>
      <w:r w:rsidRPr="00CA31E8">
        <w:rPr>
          <w:b/>
          <w:sz w:val="20"/>
          <w:szCs w:val="20"/>
        </w:rPr>
        <w:t xml:space="preserve"> </w:t>
      </w:r>
      <w:r w:rsidR="00A65F5F" w:rsidRPr="00CA31E8">
        <w:rPr>
          <w:b/>
          <w:sz w:val="20"/>
          <w:szCs w:val="20"/>
        </w:rPr>
        <w:t>Nota:</w:t>
      </w:r>
      <w:r w:rsidR="00A65F5F" w:rsidRPr="00CA31E8">
        <w:rPr>
          <w:sz w:val="20"/>
          <w:szCs w:val="20"/>
        </w:rPr>
        <w:t xml:space="preserve"> Las </w:t>
      </w:r>
      <w:r w:rsidR="00A65F5F" w:rsidRPr="00D4533E">
        <w:rPr>
          <w:sz w:val="20"/>
          <w:szCs w:val="20"/>
        </w:rPr>
        <w:t>compras se definen como el Costo de Operación más la diferencia anual del monto del inventario</w:t>
      </w:r>
    </w:p>
    <w:p w14:paraId="0C7E144C" w14:textId="77777777" w:rsidR="00E97E85" w:rsidRDefault="00E97E85" w:rsidP="00A65F5F">
      <w:pPr>
        <w:ind w:left="-540" w:right="-25"/>
      </w:pPr>
    </w:p>
    <w:p w14:paraId="7A6BE819" w14:textId="77777777" w:rsidR="000C1F93" w:rsidRPr="00D75232" w:rsidRDefault="000C1F93" w:rsidP="000C1F93">
      <w:pPr>
        <w:ind w:left="-540" w:right="-25"/>
      </w:pPr>
      <w:r w:rsidRPr="00D75232">
        <w:t>Para el caso del Grupo ICE, este indicador no es tan relevante como lo es para empresas comerciales o industriales, donde los inventarios son el principal componente del costo de operación (costo de la mercadería vendida).  Dado el tipo de actividad del Grupo ICE, su costo de operación se compone, además de bienes inventariables, de un alto costo de la mano de obra, arrendamientos y consultorías. Estos componentes no se relacionan con el manejo de inventario, por lo cual distorsionan el indicador de rotación de inventarios. Por consiguiente, este indicador debe ser analizado considerando dicha salvedad.</w:t>
      </w:r>
    </w:p>
    <w:p w14:paraId="65F696CD" w14:textId="77777777" w:rsidR="00A65F5F" w:rsidRDefault="00A65F5F" w:rsidP="00A65F5F">
      <w:pPr>
        <w:ind w:left="-540" w:right="-25"/>
      </w:pPr>
    </w:p>
    <w:p w14:paraId="40043507" w14:textId="77777777" w:rsidR="00A65F5F" w:rsidRPr="00326B73" w:rsidRDefault="00A65F5F" w:rsidP="00A65F5F">
      <w:pPr>
        <w:pStyle w:val="Ttulo4"/>
      </w:pPr>
      <w:r>
        <w:t xml:space="preserve"> 2.3.3.3 </w:t>
      </w:r>
      <w:r w:rsidRPr="00326B73">
        <w:t>Rotación de Activos Fijos (Veces)</w:t>
      </w:r>
    </w:p>
    <w:p w14:paraId="7C731F5C" w14:textId="77777777" w:rsidR="00A65F5F" w:rsidRDefault="00A65F5F" w:rsidP="00A65F5F">
      <w:pPr>
        <w:ind w:left="-540" w:right="-25"/>
      </w:pPr>
    </w:p>
    <w:p w14:paraId="67871A1C" w14:textId="4497862E" w:rsidR="00A65F5F" w:rsidRDefault="00A65F5F" w:rsidP="00A65F5F">
      <w:pPr>
        <w:ind w:left="-540" w:right="-25"/>
      </w:pPr>
      <w:r w:rsidRPr="006F2A3C">
        <w:t xml:space="preserve">Esta razón indica la efectividad de la empresa para utilizar su base total de activos y traducirlo en desempeño comercial a través de las ventas. </w:t>
      </w:r>
    </w:p>
    <w:p w14:paraId="04037180" w14:textId="77777777" w:rsidR="00B622C9" w:rsidRDefault="00B622C9" w:rsidP="00B622C9">
      <w:pPr>
        <w:ind w:left="-540" w:right="-25"/>
        <w:jc w:val="center"/>
      </w:pPr>
    </w:p>
    <w:p w14:paraId="561D0016" w14:textId="2BF17386" w:rsidR="00B622C9" w:rsidRDefault="00B622C9" w:rsidP="00BA08EC">
      <w:pPr>
        <w:ind w:left="-540" w:right="-25"/>
        <w:jc w:val="center"/>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E26C40" w:rsidRPr="00E26C40" w14:paraId="697BC38E" w14:textId="77777777" w:rsidTr="00E26C40">
        <w:trPr>
          <w:trHeight w:val="310"/>
          <w:jc w:val="center"/>
        </w:trPr>
        <w:tc>
          <w:tcPr>
            <w:tcW w:w="4496" w:type="dxa"/>
            <w:tcBorders>
              <w:top w:val="nil"/>
              <w:left w:val="nil"/>
              <w:bottom w:val="nil"/>
              <w:right w:val="nil"/>
            </w:tcBorders>
            <w:shd w:val="clear" w:color="000000" w:fill="333F4F"/>
            <w:noWrap/>
            <w:vAlign w:val="bottom"/>
            <w:hideMark/>
          </w:tcPr>
          <w:p w14:paraId="076BDEBF" w14:textId="77777777" w:rsidR="00E26C40" w:rsidRPr="00E26C40" w:rsidRDefault="00E26C40" w:rsidP="00E26C40">
            <w:pPr>
              <w:ind w:right="0"/>
              <w:jc w:val="left"/>
              <w:rPr>
                <w:rFonts w:ascii="Calibri" w:hAnsi="Calibri" w:cs="Calibri"/>
                <w:color w:val="000000"/>
                <w:sz w:val="22"/>
                <w:szCs w:val="22"/>
                <w:lang w:val="es-419" w:eastAsia="es-419"/>
              </w:rPr>
            </w:pPr>
            <w:r w:rsidRPr="00E26C40">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504CE797" w14:textId="77777777" w:rsidR="00E26C40" w:rsidRPr="00E26C40" w:rsidRDefault="00E26C40" w:rsidP="00E26C40">
            <w:pPr>
              <w:ind w:right="0"/>
              <w:jc w:val="center"/>
              <w:rPr>
                <w:b/>
                <w:bCs/>
                <w:color w:val="FFFFFF"/>
                <w:lang w:val="es-419" w:eastAsia="es-419"/>
              </w:rPr>
            </w:pPr>
            <w:r w:rsidRPr="00E26C40">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315D75C5" w14:textId="77777777" w:rsidR="00E26C40" w:rsidRPr="00E26C40" w:rsidRDefault="00E26C40" w:rsidP="00E26C40">
            <w:pPr>
              <w:ind w:right="0"/>
              <w:jc w:val="center"/>
              <w:rPr>
                <w:b/>
                <w:bCs/>
                <w:color w:val="FFFFFF"/>
                <w:lang w:val="es-419" w:eastAsia="es-419"/>
              </w:rPr>
            </w:pPr>
            <w:r w:rsidRPr="00E26C40">
              <w:rPr>
                <w:b/>
                <w:bCs/>
                <w:color w:val="FFFFFF"/>
                <w:lang w:val="es-419" w:eastAsia="es-419"/>
              </w:rPr>
              <w:t>dic-22</w:t>
            </w:r>
          </w:p>
        </w:tc>
      </w:tr>
      <w:tr w:rsidR="00E26C40" w:rsidRPr="00E26C40" w14:paraId="1EDC768B" w14:textId="77777777" w:rsidTr="00E26C40">
        <w:trPr>
          <w:trHeight w:val="310"/>
          <w:jc w:val="center"/>
        </w:trPr>
        <w:tc>
          <w:tcPr>
            <w:tcW w:w="4496" w:type="dxa"/>
            <w:tcBorders>
              <w:top w:val="nil"/>
              <w:left w:val="nil"/>
              <w:bottom w:val="single" w:sz="4" w:space="0" w:color="auto"/>
              <w:right w:val="nil"/>
            </w:tcBorders>
            <w:shd w:val="clear" w:color="auto" w:fill="auto"/>
            <w:vAlign w:val="bottom"/>
            <w:hideMark/>
          </w:tcPr>
          <w:p w14:paraId="4C0A193E" w14:textId="77777777" w:rsidR="00E26C40" w:rsidRPr="00E26C40" w:rsidRDefault="00E26C40" w:rsidP="00E26C40">
            <w:pPr>
              <w:ind w:right="0"/>
              <w:jc w:val="left"/>
              <w:rPr>
                <w:b/>
                <w:bCs/>
                <w:color w:val="000000"/>
                <w:lang w:val="es-419" w:eastAsia="es-419"/>
              </w:rPr>
            </w:pPr>
            <w:r w:rsidRPr="00E26C40">
              <w:rPr>
                <w:b/>
                <w:bCs/>
                <w:color w:val="000000"/>
                <w:lang w:val="es-419" w:eastAsia="es-419"/>
              </w:rPr>
              <w:t>Rotación de Activos Fijos</w:t>
            </w:r>
          </w:p>
        </w:tc>
        <w:tc>
          <w:tcPr>
            <w:tcW w:w="1476" w:type="dxa"/>
            <w:tcBorders>
              <w:top w:val="nil"/>
              <w:left w:val="single" w:sz="4" w:space="0" w:color="auto"/>
              <w:bottom w:val="single" w:sz="4" w:space="0" w:color="auto"/>
              <w:right w:val="nil"/>
            </w:tcBorders>
            <w:shd w:val="clear" w:color="auto" w:fill="auto"/>
            <w:noWrap/>
            <w:vAlign w:val="center"/>
            <w:hideMark/>
          </w:tcPr>
          <w:p w14:paraId="3A7746A0" w14:textId="77777777" w:rsidR="00E26C40" w:rsidRPr="00E26C40" w:rsidRDefault="00E26C40" w:rsidP="00E26C40">
            <w:pPr>
              <w:ind w:right="0"/>
              <w:jc w:val="center"/>
              <w:rPr>
                <w:b/>
                <w:bCs/>
                <w:color w:val="000000"/>
                <w:sz w:val="20"/>
                <w:szCs w:val="20"/>
                <w:lang w:val="es-419" w:eastAsia="es-419"/>
              </w:rPr>
            </w:pPr>
            <w:r w:rsidRPr="00E26C40">
              <w:rPr>
                <w:b/>
                <w:bCs/>
                <w:color w:val="000000"/>
                <w:sz w:val="20"/>
                <w:szCs w:val="20"/>
                <w:lang w:val="es-419" w:eastAsia="es-419"/>
              </w:rPr>
              <w:t xml:space="preserve">                   0,23 </w:t>
            </w:r>
          </w:p>
        </w:tc>
        <w:tc>
          <w:tcPr>
            <w:tcW w:w="1476" w:type="dxa"/>
            <w:tcBorders>
              <w:top w:val="nil"/>
              <w:left w:val="single" w:sz="4" w:space="0" w:color="auto"/>
              <w:bottom w:val="single" w:sz="4" w:space="0" w:color="auto"/>
              <w:right w:val="nil"/>
            </w:tcBorders>
            <w:shd w:val="clear" w:color="auto" w:fill="auto"/>
            <w:noWrap/>
            <w:vAlign w:val="center"/>
            <w:hideMark/>
          </w:tcPr>
          <w:p w14:paraId="0CDD3F92" w14:textId="77777777" w:rsidR="00E26C40" w:rsidRPr="00E26C40" w:rsidRDefault="00E26C40" w:rsidP="00E26C40">
            <w:pPr>
              <w:ind w:right="0"/>
              <w:jc w:val="center"/>
              <w:rPr>
                <w:b/>
                <w:bCs/>
                <w:color w:val="000000"/>
                <w:sz w:val="20"/>
                <w:szCs w:val="20"/>
                <w:lang w:val="es-419" w:eastAsia="es-419"/>
              </w:rPr>
            </w:pPr>
            <w:r w:rsidRPr="00E26C40">
              <w:rPr>
                <w:b/>
                <w:bCs/>
                <w:color w:val="000000"/>
                <w:sz w:val="20"/>
                <w:szCs w:val="20"/>
                <w:lang w:val="es-419" w:eastAsia="es-419"/>
              </w:rPr>
              <w:t xml:space="preserve">                   0,26 </w:t>
            </w:r>
          </w:p>
        </w:tc>
      </w:tr>
      <w:tr w:rsidR="00E26C40" w:rsidRPr="00E26C40" w14:paraId="42BD0DBE" w14:textId="77777777" w:rsidTr="00E26C40">
        <w:trPr>
          <w:trHeight w:val="290"/>
          <w:jc w:val="center"/>
        </w:trPr>
        <w:tc>
          <w:tcPr>
            <w:tcW w:w="4496" w:type="dxa"/>
            <w:tcBorders>
              <w:top w:val="nil"/>
              <w:left w:val="nil"/>
              <w:bottom w:val="dashed" w:sz="4" w:space="0" w:color="auto"/>
              <w:right w:val="nil"/>
            </w:tcBorders>
            <w:shd w:val="clear" w:color="auto" w:fill="auto"/>
            <w:noWrap/>
            <w:vAlign w:val="bottom"/>
            <w:hideMark/>
          </w:tcPr>
          <w:p w14:paraId="0ABC764F"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a) Ingresos Totales</w:t>
            </w:r>
          </w:p>
        </w:tc>
        <w:tc>
          <w:tcPr>
            <w:tcW w:w="1476" w:type="dxa"/>
            <w:tcBorders>
              <w:top w:val="nil"/>
              <w:left w:val="single" w:sz="4" w:space="0" w:color="auto"/>
              <w:bottom w:val="dotted" w:sz="4" w:space="0" w:color="auto"/>
              <w:right w:val="nil"/>
            </w:tcBorders>
            <w:shd w:val="clear" w:color="auto" w:fill="auto"/>
            <w:noWrap/>
            <w:vAlign w:val="bottom"/>
            <w:hideMark/>
          </w:tcPr>
          <w:p w14:paraId="7B1376EF"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 xml:space="preserve">          1 333 443 </w:t>
            </w:r>
          </w:p>
        </w:tc>
        <w:tc>
          <w:tcPr>
            <w:tcW w:w="1476" w:type="dxa"/>
            <w:tcBorders>
              <w:top w:val="nil"/>
              <w:left w:val="single" w:sz="4" w:space="0" w:color="auto"/>
              <w:bottom w:val="dotted" w:sz="4" w:space="0" w:color="auto"/>
              <w:right w:val="nil"/>
            </w:tcBorders>
            <w:shd w:val="clear" w:color="auto" w:fill="auto"/>
            <w:noWrap/>
            <w:vAlign w:val="bottom"/>
            <w:hideMark/>
          </w:tcPr>
          <w:p w14:paraId="34C69E8B"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 xml:space="preserve">          1 456 935 </w:t>
            </w:r>
          </w:p>
        </w:tc>
      </w:tr>
      <w:tr w:rsidR="00E26C40" w:rsidRPr="00E26C40" w14:paraId="2E567A70" w14:textId="77777777" w:rsidTr="00E26C40">
        <w:trPr>
          <w:trHeight w:val="300"/>
          <w:jc w:val="center"/>
        </w:trPr>
        <w:tc>
          <w:tcPr>
            <w:tcW w:w="4496" w:type="dxa"/>
            <w:tcBorders>
              <w:top w:val="nil"/>
              <w:left w:val="nil"/>
              <w:bottom w:val="double" w:sz="6" w:space="0" w:color="auto"/>
              <w:right w:val="nil"/>
            </w:tcBorders>
            <w:shd w:val="clear" w:color="auto" w:fill="auto"/>
            <w:noWrap/>
            <w:vAlign w:val="bottom"/>
            <w:hideMark/>
          </w:tcPr>
          <w:p w14:paraId="69C5044B"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b) Activos Fijos Totales</w:t>
            </w:r>
          </w:p>
        </w:tc>
        <w:tc>
          <w:tcPr>
            <w:tcW w:w="1476" w:type="dxa"/>
            <w:tcBorders>
              <w:top w:val="nil"/>
              <w:left w:val="single" w:sz="4" w:space="0" w:color="auto"/>
              <w:bottom w:val="double" w:sz="6" w:space="0" w:color="auto"/>
              <w:right w:val="nil"/>
            </w:tcBorders>
            <w:shd w:val="clear" w:color="auto" w:fill="auto"/>
            <w:noWrap/>
            <w:vAlign w:val="bottom"/>
            <w:hideMark/>
          </w:tcPr>
          <w:p w14:paraId="46429C05"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 xml:space="preserve">          5 845 098 </w:t>
            </w:r>
          </w:p>
        </w:tc>
        <w:tc>
          <w:tcPr>
            <w:tcW w:w="1476" w:type="dxa"/>
            <w:tcBorders>
              <w:top w:val="nil"/>
              <w:left w:val="single" w:sz="4" w:space="0" w:color="auto"/>
              <w:bottom w:val="double" w:sz="6" w:space="0" w:color="auto"/>
              <w:right w:val="nil"/>
            </w:tcBorders>
            <w:shd w:val="clear" w:color="auto" w:fill="auto"/>
            <w:noWrap/>
            <w:vAlign w:val="bottom"/>
            <w:hideMark/>
          </w:tcPr>
          <w:p w14:paraId="04683F71" w14:textId="77777777" w:rsidR="00E26C40" w:rsidRPr="00E26C40" w:rsidRDefault="00E26C40" w:rsidP="00E26C40">
            <w:pPr>
              <w:ind w:right="0"/>
              <w:jc w:val="left"/>
              <w:rPr>
                <w:color w:val="000000"/>
                <w:sz w:val="20"/>
                <w:szCs w:val="20"/>
                <w:lang w:val="es-419" w:eastAsia="es-419"/>
              </w:rPr>
            </w:pPr>
            <w:r w:rsidRPr="00E26C40">
              <w:rPr>
                <w:color w:val="000000"/>
                <w:sz w:val="20"/>
                <w:szCs w:val="20"/>
                <w:lang w:val="es-419" w:eastAsia="es-419"/>
              </w:rPr>
              <w:t xml:space="preserve">          5 651 887 </w:t>
            </w:r>
          </w:p>
        </w:tc>
      </w:tr>
    </w:tbl>
    <w:p w14:paraId="68E9B2AB" w14:textId="77777777" w:rsidR="00D7382A" w:rsidRDefault="00D7382A" w:rsidP="00BA08EC">
      <w:pPr>
        <w:ind w:left="-540" w:right="-25"/>
        <w:jc w:val="center"/>
      </w:pPr>
    </w:p>
    <w:p w14:paraId="1EAD30E4" w14:textId="77777777" w:rsidR="00A65F5F" w:rsidRDefault="00A65F5F" w:rsidP="00A65F5F">
      <w:pPr>
        <w:ind w:left="-540" w:right="-25"/>
      </w:pPr>
      <w:r w:rsidRPr="002977AB">
        <w:t>Los niveles de rotación de activos que ha presentado el ICE durante los últimos años se mantienen estables</w:t>
      </w:r>
      <w:r w:rsidR="00687A64">
        <w:t xml:space="preserve"> con respecto al año anterior</w:t>
      </w:r>
      <w:r w:rsidRPr="002977AB">
        <w:t>, principalmente porque hay activos de muy poca rotación utilizados en la construcción o terminales para el caso del Sector Telecomunicaciones.</w:t>
      </w:r>
      <w:r>
        <w:t xml:space="preserve">  </w:t>
      </w:r>
    </w:p>
    <w:p w14:paraId="7539672D" w14:textId="77777777" w:rsidR="00A65F5F" w:rsidRPr="00326B73" w:rsidRDefault="00A65F5F" w:rsidP="00A65F5F">
      <w:pPr>
        <w:pStyle w:val="Ttulo4"/>
      </w:pPr>
      <w:r w:rsidRPr="00326B73">
        <w:t xml:space="preserve"> </w:t>
      </w:r>
      <w:r>
        <w:t xml:space="preserve">2.3.3.4 </w:t>
      </w:r>
      <w:r w:rsidRPr="00326B73">
        <w:t>Período medio de cobro (Días)</w:t>
      </w:r>
    </w:p>
    <w:p w14:paraId="36382D13" w14:textId="77777777" w:rsidR="00A65F5F" w:rsidRDefault="00A65F5F" w:rsidP="00A65F5F">
      <w:pPr>
        <w:ind w:left="-540" w:right="-25"/>
      </w:pPr>
    </w:p>
    <w:p w14:paraId="2425F1F8" w14:textId="77777777" w:rsidR="00A65F5F" w:rsidRDefault="00A65F5F" w:rsidP="00A65F5F">
      <w:pPr>
        <w:ind w:left="-540" w:right="-25"/>
      </w:pPr>
      <w:r w:rsidRPr="006F2A3C">
        <w:t xml:space="preserve">El periodo medio de cobro se calcula </w:t>
      </w:r>
      <w:r>
        <w:t>dividiendo las C</w:t>
      </w:r>
      <w:r w:rsidRPr="006F2A3C">
        <w:t xml:space="preserve">uentas por </w:t>
      </w:r>
      <w:r>
        <w:t>C</w:t>
      </w:r>
      <w:r w:rsidRPr="006F2A3C">
        <w:t xml:space="preserve">obrar (comerciales </w:t>
      </w:r>
      <w:r>
        <w:t>netas</w:t>
      </w:r>
      <w:r w:rsidRPr="006F2A3C">
        <w:t xml:space="preserve">) entre las </w:t>
      </w:r>
      <w:r>
        <w:t>V</w:t>
      </w:r>
      <w:r w:rsidRPr="006F2A3C">
        <w:t xml:space="preserve">entas </w:t>
      </w:r>
      <w:r>
        <w:t>N</w:t>
      </w:r>
      <w:r w:rsidRPr="006F2A3C">
        <w:t xml:space="preserve">etas </w:t>
      </w:r>
      <w:r>
        <w:t xml:space="preserve">y se multiplica </w:t>
      </w:r>
      <w:r w:rsidRPr="006F2A3C">
        <w:t xml:space="preserve">por 360. </w:t>
      </w:r>
      <w:r>
        <w:t xml:space="preserve"> </w:t>
      </w:r>
      <w:r w:rsidRPr="006F2A3C">
        <w:t>El resultado obtenido representa el número de días de ventas invertidos en cuentas por cobrar, o en su defecto el plazo promedio de recuperación de las cuentas por cobrar</w:t>
      </w:r>
    </w:p>
    <w:p w14:paraId="5EC0762F" w14:textId="57EFD08B" w:rsidR="00A65F5F" w:rsidRDefault="00A65F5F" w:rsidP="00A65F5F">
      <w:pPr>
        <w:ind w:left="-540" w:right="-25"/>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7571C6" w:rsidRPr="007571C6" w14:paraId="23ADB1B8" w14:textId="77777777" w:rsidTr="007571C6">
        <w:trPr>
          <w:trHeight w:val="310"/>
          <w:jc w:val="center"/>
        </w:trPr>
        <w:tc>
          <w:tcPr>
            <w:tcW w:w="4496" w:type="dxa"/>
            <w:tcBorders>
              <w:top w:val="nil"/>
              <w:left w:val="nil"/>
              <w:bottom w:val="nil"/>
              <w:right w:val="nil"/>
            </w:tcBorders>
            <w:shd w:val="clear" w:color="000000" w:fill="333F4F"/>
            <w:noWrap/>
            <w:vAlign w:val="bottom"/>
            <w:hideMark/>
          </w:tcPr>
          <w:p w14:paraId="4819F113" w14:textId="77777777" w:rsidR="007571C6" w:rsidRPr="007571C6" w:rsidRDefault="007571C6" w:rsidP="007571C6">
            <w:pPr>
              <w:ind w:right="0"/>
              <w:jc w:val="left"/>
              <w:rPr>
                <w:rFonts w:ascii="Calibri" w:hAnsi="Calibri" w:cs="Calibri"/>
                <w:color w:val="000000"/>
                <w:sz w:val="22"/>
                <w:szCs w:val="22"/>
                <w:lang w:val="es-419" w:eastAsia="es-419"/>
              </w:rPr>
            </w:pPr>
            <w:r w:rsidRPr="007571C6">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26423195" w14:textId="77777777" w:rsidR="007571C6" w:rsidRPr="007571C6" w:rsidRDefault="007571C6" w:rsidP="007571C6">
            <w:pPr>
              <w:ind w:right="0"/>
              <w:jc w:val="center"/>
              <w:rPr>
                <w:b/>
                <w:bCs/>
                <w:color w:val="FFFFFF"/>
                <w:lang w:val="es-419" w:eastAsia="es-419"/>
              </w:rPr>
            </w:pPr>
            <w:r w:rsidRPr="007571C6">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5474E623" w14:textId="77777777" w:rsidR="007571C6" w:rsidRPr="007571C6" w:rsidRDefault="007571C6" w:rsidP="007571C6">
            <w:pPr>
              <w:ind w:right="0"/>
              <w:jc w:val="center"/>
              <w:rPr>
                <w:b/>
                <w:bCs/>
                <w:color w:val="FFFFFF"/>
                <w:lang w:val="es-419" w:eastAsia="es-419"/>
              </w:rPr>
            </w:pPr>
            <w:r w:rsidRPr="007571C6">
              <w:rPr>
                <w:b/>
                <w:bCs/>
                <w:color w:val="FFFFFF"/>
                <w:lang w:val="es-419" w:eastAsia="es-419"/>
              </w:rPr>
              <w:t>dic-22</w:t>
            </w:r>
          </w:p>
        </w:tc>
      </w:tr>
      <w:tr w:rsidR="007571C6" w:rsidRPr="007571C6" w14:paraId="6379C49B" w14:textId="77777777" w:rsidTr="007571C6">
        <w:trPr>
          <w:trHeight w:val="310"/>
          <w:jc w:val="center"/>
        </w:trPr>
        <w:tc>
          <w:tcPr>
            <w:tcW w:w="4496" w:type="dxa"/>
            <w:tcBorders>
              <w:top w:val="nil"/>
              <w:left w:val="nil"/>
              <w:bottom w:val="single" w:sz="4" w:space="0" w:color="auto"/>
              <w:right w:val="nil"/>
            </w:tcBorders>
            <w:shd w:val="clear" w:color="auto" w:fill="auto"/>
            <w:vAlign w:val="bottom"/>
            <w:hideMark/>
          </w:tcPr>
          <w:p w14:paraId="5987B3FD" w14:textId="77777777" w:rsidR="007571C6" w:rsidRPr="007571C6" w:rsidRDefault="007571C6" w:rsidP="007571C6">
            <w:pPr>
              <w:ind w:right="0"/>
              <w:jc w:val="left"/>
              <w:rPr>
                <w:b/>
                <w:bCs/>
                <w:color w:val="000000"/>
                <w:lang w:val="es-419" w:eastAsia="es-419"/>
              </w:rPr>
            </w:pPr>
            <w:r w:rsidRPr="007571C6">
              <w:rPr>
                <w:b/>
                <w:bCs/>
                <w:color w:val="000000"/>
                <w:lang w:val="es-419" w:eastAsia="es-419"/>
              </w:rPr>
              <w:t xml:space="preserve">Período medio de cobro  </w:t>
            </w:r>
          </w:p>
        </w:tc>
        <w:tc>
          <w:tcPr>
            <w:tcW w:w="1476" w:type="dxa"/>
            <w:tcBorders>
              <w:top w:val="nil"/>
              <w:left w:val="single" w:sz="4" w:space="0" w:color="auto"/>
              <w:bottom w:val="single" w:sz="4" w:space="0" w:color="auto"/>
              <w:right w:val="nil"/>
            </w:tcBorders>
            <w:shd w:val="clear" w:color="auto" w:fill="auto"/>
            <w:noWrap/>
            <w:vAlign w:val="center"/>
            <w:hideMark/>
          </w:tcPr>
          <w:p w14:paraId="4610CA13" w14:textId="77777777" w:rsidR="007571C6" w:rsidRPr="007571C6" w:rsidRDefault="007571C6" w:rsidP="007571C6">
            <w:pPr>
              <w:ind w:right="0"/>
              <w:jc w:val="center"/>
              <w:rPr>
                <w:b/>
                <w:bCs/>
                <w:color w:val="000000"/>
                <w:sz w:val="20"/>
                <w:szCs w:val="20"/>
                <w:lang w:val="es-419" w:eastAsia="es-419"/>
              </w:rPr>
            </w:pPr>
            <w:r w:rsidRPr="007571C6">
              <w:rPr>
                <w:b/>
                <w:bCs/>
                <w:color w:val="000000"/>
                <w:sz w:val="20"/>
                <w:szCs w:val="20"/>
                <w:lang w:val="es-419" w:eastAsia="es-419"/>
              </w:rPr>
              <w:t xml:space="preserve">                      47 </w:t>
            </w:r>
          </w:p>
        </w:tc>
        <w:tc>
          <w:tcPr>
            <w:tcW w:w="1476" w:type="dxa"/>
            <w:tcBorders>
              <w:top w:val="nil"/>
              <w:left w:val="single" w:sz="4" w:space="0" w:color="auto"/>
              <w:bottom w:val="single" w:sz="4" w:space="0" w:color="auto"/>
              <w:right w:val="nil"/>
            </w:tcBorders>
            <w:shd w:val="clear" w:color="auto" w:fill="auto"/>
            <w:noWrap/>
            <w:vAlign w:val="center"/>
            <w:hideMark/>
          </w:tcPr>
          <w:p w14:paraId="0D251A97" w14:textId="77777777" w:rsidR="007571C6" w:rsidRPr="007571C6" w:rsidRDefault="007571C6" w:rsidP="007571C6">
            <w:pPr>
              <w:ind w:right="0"/>
              <w:jc w:val="center"/>
              <w:rPr>
                <w:b/>
                <w:bCs/>
                <w:color w:val="000000"/>
                <w:sz w:val="20"/>
                <w:szCs w:val="20"/>
                <w:lang w:val="es-419" w:eastAsia="es-419"/>
              </w:rPr>
            </w:pPr>
            <w:r w:rsidRPr="007571C6">
              <w:rPr>
                <w:b/>
                <w:bCs/>
                <w:color w:val="000000"/>
                <w:sz w:val="20"/>
                <w:szCs w:val="20"/>
                <w:lang w:val="es-419" w:eastAsia="es-419"/>
              </w:rPr>
              <w:t xml:space="preserve">                      43 </w:t>
            </w:r>
          </w:p>
        </w:tc>
      </w:tr>
      <w:tr w:rsidR="007571C6" w:rsidRPr="007571C6" w14:paraId="2A38139B" w14:textId="77777777" w:rsidTr="007571C6">
        <w:trPr>
          <w:trHeight w:val="290"/>
          <w:jc w:val="center"/>
        </w:trPr>
        <w:tc>
          <w:tcPr>
            <w:tcW w:w="4496" w:type="dxa"/>
            <w:tcBorders>
              <w:top w:val="nil"/>
              <w:left w:val="nil"/>
              <w:bottom w:val="dashed" w:sz="4" w:space="0" w:color="auto"/>
              <w:right w:val="nil"/>
            </w:tcBorders>
            <w:shd w:val="clear" w:color="auto" w:fill="auto"/>
            <w:noWrap/>
            <w:vAlign w:val="bottom"/>
            <w:hideMark/>
          </w:tcPr>
          <w:p w14:paraId="51785F86"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a) Ingresos Totales</w:t>
            </w:r>
          </w:p>
        </w:tc>
        <w:tc>
          <w:tcPr>
            <w:tcW w:w="1476" w:type="dxa"/>
            <w:tcBorders>
              <w:top w:val="nil"/>
              <w:left w:val="single" w:sz="4" w:space="0" w:color="auto"/>
              <w:bottom w:val="dotted" w:sz="4" w:space="0" w:color="auto"/>
              <w:right w:val="nil"/>
            </w:tcBorders>
            <w:shd w:val="clear" w:color="auto" w:fill="auto"/>
            <w:noWrap/>
            <w:vAlign w:val="bottom"/>
            <w:hideMark/>
          </w:tcPr>
          <w:p w14:paraId="11F58321"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 xml:space="preserve">          1 333 443 </w:t>
            </w:r>
          </w:p>
        </w:tc>
        <w:tc>
          <w:tcPr>
            <w:tcW w:w="1476" w:type="dxa"/>
            <w:tcBorders>
              <w:top w:val="nil"/>
              <w:left w:val="single" w:sz="4" w:space="0" w:color="auto"/>
              <w:bottom w:val="dotted" w:sz="4" w:space="0" w:color="auto"/>
              <w:right w:val="nil"/>
            </w:tcBorders>
            <w:shd w:val="clear" w:color="auto" w:fill="auto"/>
            <w:noWrap/>
            <w:vAlign w:val="bottom"/>
            <w:hideMark/>
          </w:tcPr>
          <w:p w14:paraId="12B44E9A"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 xml:space="preserve">          1 456 935 </w:t>
            </w:r>
          </w:p>
        </w:tc>
      </w:tr>
      <w:tr w:rsidR="007571C6" w:rsidRPr="007571C6" w14:paraId="4B2C9288" w14:textId="77777777" w:rsidTr="007571C6">
        <w:trPr>
          <w:trHeight w:val="300"/>
          <w:jc w:val="center"/>
        </w:trPr>
        <w:tc>
          <w:tcPr>
            <w:tcW w:w="4496" w:type="dxa"/>
            <w:tcBorders>
              <w:top w:val="nil"/>
              <w:left w:val="nil"/>
              <w:bottom w:val="double" w:sz="6" w:space="0" w:color="auto"/>
              <w:right w:val="nil"/>
            </w:tcBorders>
            <w:shd w:val="clear" w:color="auto" w:fill="auto"/>
            <w:noWrap/>
            <w:vAlign w:val="bottom"/>
            <w:hideMark/>
          </w:tcPr>
          <w:p w14:paraId="4454FAD9"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b) Cuentas por cobrar</w:t>
            </w:r>
          </w:p>
        </w:tc>
        <w:tc>
          <w:tcPr>
            <w:tcW w:w="1476" w:type="dxa"/>
            <w:tcBorders>
              <w:top w:val="nil"/>
              <w:left w:val="single" w:sz="4" w:space="0" w:color="auto"/>
              <w:bottom w:val="double" w:sz="6" w:space="0" w:color="auto"/>
              <w:right w:val="nil"/>
            </w:tcBorders>
            <w:shd w:val="clear" w:color="auto" w:fill="auto"/>
            <w:noWrap/>
            <w:vAlign w:val="bottom"/>
            <w:hideMark/>
          </w:tcPr>
          <w:p w14:paraId="0B2832FF"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 xml:space="preserve">             173 218 </w:t>
            </w:r>
          </w:p>
        </w:tc>
        <w:tc>
          <w:tcPr>
            <w:tcW w:w="1476" w:type="dxa"/>
            <w:tcBorders>
              <w:top w:val="nil"/>
              <w:left w:val="single" w:sz="4" w:space="0" w:color="auto"/>
              <w:bottom w:val="double" w:sz="6" w:space="0" w:color="auto"/>
              <w:right w:val="nil"/>
            </w:tcBorders>
            <w:shd w:val="clear" w:color="auto" w:fill="auto"/>
            <w:noWrap/>
            <w:vAlign w:val="bottom"/>
            <w:hideMark/>
          </w:tcPr>
          <w:p w14:paraId="20392426" w14:textId="77777777" w:rsidR="007571C6" w:rsidRPr="007571C6" w:rsidRDefault="007571C6" w:rsidP="007571C6">
            <w:pPr>
              <w:ind w:right="0"/>
              <w:jc w:val="left"/>
              <w:rPr>
                <w:color w:val="000000"/>
                <w:sz w:val="20"/>
                <w:szCs w:val="20"/>
                <w:lang w:val="es-419" w:eastAsia="es-419"/>
              </w:rPr>
            </w:pPr>
            <w:r w:rsidRPr="007571C6">
              <w:rPr>
                <w:color w:val="000000"/>
                <w:sz w:val="20"/>
                <w:szCs w:val="20"/>
                <w:lang w:val="es-419" w:eastAsia="es-419"/>
              </w:rPr>
              <w:t xml:space="preserve">             175 028 </w:t>
            </w:r>
          </w:p>
        </w:tc>
      </w:tr>
    </w:tbl>
    <w:p w14:paraId="5FE48B4D" w14:textId="77777777" w:rsidR="00D7382A" w:rsidRDefault="00D7382A" w:rsidP="00BA08EC">
      <w:pPr>
        <w:ind w:left="-540" w:right="-25"/>
        <w:jc w:val="center"/>
      </w:pPr>
    </w:p>
    <w:p w14:paraId="639B3149" w14:textId="706652D1" w:rsidR="006B309A" w:rsidRDefault="006B309A" w:rsidP="00A65F5F">
      <w:pPr>
        <w:ind w:left="-540" w:right="-25"/>
        <w:jc w:val="center"/>
      </w:pPr>
    </w:p>
    <w:p w14:paraId="574D95D6" w14:textId="77777777" w:rsidR="00D00398" w:rsidRPr="00D75232" w:rsidRDefault="00D00398" w:rsidP="00D00398">
      <w:pPr>
        <w:ind w:left="-540" w:right="-25"/>
      </w:pPr>
      <w:r w:rsidRPr="00D75232">
        <w:t xml:space="preserve">Al cierre de diciembre de 2022, el resultado de este indicador muestra una disminución con respecto al 2021, debido a que los ingresos totales por los servicios brindados de electricidad y telecomunicaciones mostraron un importante incremento. Por su parte las cuentas por cobrar comerciales, neto, presentan un leve aumento.  </w:t>
      </w:r>
    </w:p>
    <w:p w14:paraId="215694C1" w14:textId="77777777" w:rsidR="00A65F5F" w:rsidRPr="00326B73" w:rsidRDefault="00A65F5F" w:rsidP="00A65F5F">
      <w:pPr>
        <w:ind w:left="-540" w:right="-25"/>
        <w:rPr>
          <w:b/>
        </w:rPr>
      </w:pPr>
    </w:p>
    <w:p w14:paraId="11956A56" w14:textId="77777777" w:rsidR="00A65F5F" w:rsidRDefault="00A65F5F" w:rsidP="00A65F5F">
      <w:pPr>
        <w:pStyle w:val="Ttulo4"/>
      </w:pPr>
      <w:r>
        <w:t xml:space="preserve">2.3.3.5 </w:t>
      </w:r>
      <w:r w:rsidRPr="00BE0A48">
        <w:t>Periodo medio de pago (Días)</w:t>
      </w:r>
    </w:p>
    <w:p w14:paraId="2C1D1DE4" w14:textId="77777777" w:rsidR="00A65F5F" w:rsidRDefault="00A65F5F" w:rsidP="00A65F5F">
      <w:pPr>
        <w:ind w:left="-540" w:right="-25"/>
      </w:pPr>
    </w:p>
    <w:p w14:paraId="74107397" w14:textId="428E80F7" w:rsidR="00A65F5F" w:rsidRDefault="00A65F5F" w:rsidP="00A65F5F">
      <w:pPr>
        <w:ind w:left="-540" w:right="-25"/>
      </w:pPr>
      <w:r w:rsidRPr="00824631">
        <w:t xml:space="preserve">Para el cálculo del periodo medio de pago se toma </w:t>
      </w:r>
      <w:r>
        <w:t xml:space="preserve">el saldo de </w:t>
      </w:r>
      <w:r w:rsidRPr="00824631">
        <w:t xml:space="preserve">las Cuentas por Pagar y se divide entre las Compras, y se multiplica por 360 días. Este indicador refleja el plazo promedio en días que </w:t>
      </w:r>
      <w:r>
        <w:t xml:space="preserve">tarda el emisor en pagar sus cuentas a los proveedores. Para el cálculo de este indicador se utiliza solamente las cuentas por pagar a proveedores. </w:t>
      </w:r>
    </w:p>
    <w:p w14:paraId="6FF64C7C" w14:textId="69B8A9ED" w:rsidR="00B622C9" w:rsidRDefault="00B622C9" w:rsidP="00A65F5F">
      <w:pPr>
        <w:ind w:left="-540" w:right="-25"/>
      </w:pPr>
    </w:p>
    <w:p w14:paraId="3462B10F" w14:textId="4D8FB85A" w:rsidR="000622E6" w:rsidRDefault="000622E6" w:rsidP="00A65F5F">
      <w:pPr>
        <w:ind w:left="-540" w:right="-25"/>
        <w:jc w:val="center"/>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F006DD" w:rsidRPr="00F006DD" w14:paraId="382D0D92" w14:textId="77777777" w:rsidTr="00F006DD">
        <w:trPr>
          <w:trHeight w:val="465"/>
          <w:jc w:val="center"/>
        </w:trPr>
        <w:tc>
          <w:tcPr>
            <w:tcW w:w="4496" w:type="dxa"/>
            <w:tcBorders>
              <w:top w:val="nil"/>
              <w:left w:val="nil"/>
              <w:bottom w:val="nil"/>
              <w:right w:val="nil"/>
            </w:tcBorders>
            <w:shd w:val="clear" w:color="000000" w:fill="333F4F"/>
            <w:noWrap/>
            <w:vAlign w:val="bottom"/>
            <w:hideMark/>
          </w:tcPr>
          <w:p w14:paraId="72DF022D" w14:textId="77777777" w:rsidR="00F006DD" w:rsidRPr="00F006DD" w:rsidRDefault="00F006DD" w:rsidP="00F006DD">
            <w:pPr>
              <w:ind w:right="0"/>
              <w:jc w:val="left"/>
              <w:rPr>
                <w:rFonts w:ascii="Calibri" w:hAnsi="Calibri" w:cs="Calibri"/>
                <w:color w:val="000000"/>
                <w:sz w:val="22"/>
                <w:szCs w:val="22"/>
                <w:lang w:val="es-419" w:eastAsia="es-419"/>
              </w:rPr>
            </w:pPr>
            <w:r w:rsidRPr="00F006DD">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70637660" w14:textId="77777777" w:rsidR="00F006DD" w:rsidRPr="00F006DD" w:rsidRDefault="00F006DD" w:rsidP="00F006DD">
            <w:pPr>
              <w:ind w:right="0"/>
              <w:jc w:val="center"/>
              <w:rPr>
                <w:b/>
                <w:bCs/>
                <w:color w:val="FFFFFF"/>
                <w:lang w:val="es-419" w:eastAsia="es-419"/>
              </w:rPr>
            </w:pPr>
            <w:r w:rsidRPr="00F006DD">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32C12ECC" w14:textId="77777777" w:rsidR="00F006DD" w:rsidRPr="00F006DD" w:rsidRDefault="00F006DD" w:rsidP="00F006DD">
            <w:pPr>
              <w:ind w:right="0"/>
              <w:jc w:val="center"/>
              <w:rPr>
                <w:b/>
                <w:bCs/>
                <w:color w:val="FFFFFF"/>
                <w:lang w:val="es-419" w:eastAsia="es-419"/>
              </w:rPr>
            </w:pPr>
            <w:r w:rsidRPr="00F006DD">
              <w:rPr>
                <w:b/>
                <w:bCs/>
                <w:color w:val="FFFFFF"/>
                <w:lang w:val="es-419" w:eastAsia="es-419"/>
              </w:rPr>
              <w:t>dic-22</w:t>
            </w:r>
          </w:p>
        </w:tc>
      </w:tr>
      <w:tr w:rsidR="00F006DD" w:rsidRPr="00F006DD" w14:paraId="1AD0F6B8" w14:textId="77777777" w:rsidTr="00F006DD">
        <w:trPr>
          <w:trHeight w:val="310"/>
          <w:jc w:val="center"/>
        </w:trPr>
        <w:tc>
          <w:tcPr>
            <w:tcW w:w="4496" w:type="dxa"/>
            <w:tcBorders>
              <w:top w:val="nil"/>
              <w:left w:val="nil"/>
              <w:bottom w:val="single" w:sz="4" w:space="0" w:color="auto"/>
              <w:right w:val="nil"/>
            </w:tcBorders>
            <w:shd w:val="clear" w:color="auto" w:fill="auto"/>
            <w:vAlign w:val="bottom"/>
            <w:hideMark/>
          </w:tcPr>
          <w:p w14:paraId="336E5C20" w14:textId="77777777" w:rsidR="00F006DD" w:rsidRPr="00F006DD" w:rsidRDefault="00F006DD" w:rsidP="00F006DD">
            <w:pPr>
              <w:ind w:right="0"/>
              <w:jc w:val="left"/>
              <w:rPr>
                <w:b/>
                <w:bCs/>
                <w:color w:val="000000"/>
                <w:lang w:val="es-419" w:eastAsia="es-419"/>
              </w:rPr>
            </w:pPr>
            <w:r w:rsidRPr="00F006DD">
              <w:rPr>
                <w:b/>
                <w:bCs/>
                <w:color w:val="000000"/>
                <w:lang w:val="es-419" w:eastAsia="es-419"/>
              </w:rPr>
              <w:t>Período medio de pago</w:t>
            </w:r>
          </w:p>
        </w:tc>
        <w:tc>
          <w:tcPr>
            <w:tcW w:w="1476" w:type="dxa"/>
            <w:tcBorders>
              <w:top w:val="nil"/>
              <w:left w:val="single" w:sz="4" w:space="0" w:color="auto"/>
              <w:bottom w:val="single" w:sz="4" w:space="0" w:color="auto"/>
              <w:right w:val="nil"/>
            </w:tcBorders>
            <w:shd w:val="clear" w:color="auto" w:fill="auto"/>
            <w:noWrap/>
            <w:vAlign w:val="center"/>
            <w:hideMark/>
          </w:tcPr>
          <w:p w14:paraId="2BD11968" w14:textId="77777777" w:rsidR="00F006DD" w:rsidRPr="00F006DD" w:rsidRDefault="00F006DD" w:rsidP="00F006DD">
            <w:pPr>
              <w:ind w:right="0"/>
              <w:jc w:val="center"/>
              <w:rPr>
                <w:b/>
                <w:bCs/>
                <w:color w:val="000000"/>
                <w:sz w:val="20"/>
                <w:szCs w:val="20"/>
                <w:lang w:val="es-419" w:eastAsia="es-419"/>
              </w:rPr>
            </w:pPr>
            <w:r w:rsidRPr="00F006DD">
              <w:rPr>
                <w:b/>
                <w:bCs/>
                <w:color w:val="000000"/>
                <w:sz w:val="20"/>
                <w:szCs w:val="20"/>
                <w:lang w:val="es-419" w:eastAsia="es-419"/>
              </w:rPr>
              <w:t xml:space="preserve">                      42 </w:t>
            </w:r>
          </w:p>
        </w:tc>
        <w:tc>
          <w:tcPr>
            <w:tcW w:w="1476" w:type="dxa"/>
            <w:tcBorders>
              <w:top w:val="nil"/>
              <w:left w:val="single" w:sz="4" w:space="0" w:color="auto"/>
              <w:bottom w:val="single" w:sz="4" w:space="0" w:color="auto"/>
              <w:right w:val="nil"/>
            </w:tcBorders>
            <w:shd w:val="clear" w:color="auto" w:fill="auto"/>
            <w:noWrap/>
            <w:vAlign w:val="center"/>
            <w:hideMark/>
          </w:tcPr>
          <w:p w14:paraId="0FC88632" w14:textId="77777777" w:rsidR="00F006DD" w:rsidRPr="00F006DD" w:rsidRDefault="00F006DD" w:rsidP="00F006DD">
            <w:pPr>
              <w:ind w:right="0"/>
              <w:jc w:val="center"/>
              <w:rPr>
                <w:b/>
                <w:bCs/>
                <w:color w:val="000000"/>
                <w:sz w:val="20"/>
                <w:szCs w:val="20"/>
                <w:lang w:val="es-419" w:eastAsia="es-419"/>
              </w:rPr>
            </w:pPr>
            <w:r w:rsidRPr="00F006DD">
              <w:rPr>
                <w:b/>
                <w:bCs/>
                <w:color w:val="000000"/>
                <w:sz w:val="20"/>
                <w:szCs w:val="20"/>
                <w:lang w:val="es-419" w:eastAsia="es-419"/>
              </w:rPr>
              <w:t xml:space="preserve">                      35 </w:t>
            </w:r>
          </w:p>
        </w:tc>
      </w:tr>
      <w:tr w:rsidR="00F006DD" w:rsidRPr="00F006DD" w14:paraId="2ED8FD3E" w14:textId="77777777" w:rsidTr="00F006DD">
        <w:trPr>
          <w:trHeight w:val="290"/>
          <w:jc w:val="center"/>
        </w:trPr>
        <w:tc>
          <w:tcPr>
            <w:tcW w:w="4496" w:type="dxa"/>
            <w:tcBorders>
              <w:top w:val="nil"/>
              <w:left w:val="nil"/>
              <w:bottom w:val="dashed" w:sz="4" w:space="0" w:color="auto"/>
              <w:right w:val="nil"/>
            </w:tcBorders>
            <w:shd w:val="clear" w:color="auto" w:fill="auto"/>
            <w:noWrap/>
            <w:vAlign w:val="bottom"/>
            <w:hideMark/>
          </w:tcPr>
          <w:p w14:paraId="5D95C06B"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a) Compras</w:t>
            </w:r>
          </w:p>
        </w:tc>
        <w:tc>
          <w:tcPr>
            <w:tcW w:w="1476" w:type="dxa"/>
            <w:tcBorders>
              <w:top w:val="nil"/>
              <w:left w:val="single" w:sz="4" w:space="0" w:color="auto"/>
              <w:bottom w:val="dotted" w:sz="4" w:space="0" w:color="auto"/>
              <w:right w:val="nil"/>
            </w:tcBorders>
            <w:shd w:val="clear" w:color="auto" w:fill="auto"/>
            <w:noWrap/>
            <w:vAlign w:val="bottom"/>
            <w:hideMark/>
          </w:tcPr>
          <w:p w14:paraId="55039EF6"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 xml:space="preserve">             788 286 </w:t>
            </w:r>
          </w:p>
        </w:tc>
        <w:tc>
          <w:tcPr>
            <w:tcW w:w="1476" w:type="dxa"/>
            <w:tcBorders>
              <w:top w:val="nil"/>
              <w:left w:val="single" w:sz="4" w:space="0" w:color="auto"/>
              <w:bottom w:val="dotted" w:sz="4" w:space="0" w:color="auto"/>
              <w:right w:val="nil"/>
            </w:tcBorders>
            <w:shd w:val="clear" w:color="auto" w:fill="auto"/>
            <w:noWrap/>
            <w:vAlign w:val="bottom"/>
            <w:hideMark/>
          </w:tcPr>
          <w:p w14:paraId="06F63842"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 xml:space="preserve">             857 160 </w:t>
            </w:r>
          </w:p>
        </w:tc>
      </w:tr>
      <w:tr w:rsidR="00F006DD" w:rsidRPr="00F006DD" w14:paraId="73E2444B" w14:textId="77777777" w:rsidTr="00F006DD">
        <w:trPr>
          <w:trHeight w:val="300"/>
          <w:jc w:val="center"/>
        </w:trPr>
        <w:tc>
          <w:tcPr>
            <w:tcW w:w="4496" w:type="dxa"/>
            <w:tcBorders>
              <w:top w:val="nil"/>
              <w:left w:val="nil"/>
              <w:bottom w:val="double" w:sz="6" w:space="0" w:color="auto"/>
              <w:right w:val="nil"/>
            </w:tcBorders>
            <w:shd w:val="clear" w:color="auto" w:fill="auto"/>
            <w:noWrap/>
            <w:vAlign w:val="bottom"/>
            <w:hideMark/>
          </w:tcPr>
          <w:p w14:paraId="5577EF04"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b) Cuentas por pagar</w:t>
            </w:r>
          </w:p>
        </w:tc>
        <w:tc>
          <w:tcPr>
            <w:tcW w:w="1476" w:type="dxa"/>
            <w:tcBorders>
              <w:top w:val="nil"/>
              <w:left w:val="single" w:sz="4" w:space="0" w:color="auto"/>
              <w:bottom w:val="double" w:sz="6" w:space="0" w:color="auto"/>
              <w:right w:val="nil"/>
            </w:tcBorders>
            <w:shd w:val="clear" w:color="auto" w:fill="auto"/>
            <w:noWrap/>
            <w:vAlign w:val="bottom"/>
            <w:hideMark/>
          </w:tcPr>
          <w:p w14:paraId="75194ED5"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 xml:space="preserve">               92 422 </w:t>
            </w:r>
          </w:p>
        </w:tc>
        <w:tc>
          <w:tcPr>
            <w:tcW w:w="1476" w:type="dxa"/>
            <w:tcBorders>
              <w:top w:val="nil"/>
              <w:left w:val="single" w:sz="4" w:space="0" w:color="auto"/>
              <w:bottom w:val="double" w:sz="6" w:space="0" w:color="auto"/>
              <w:right w:val="nil"/>
            </w:tcBorders>
            <w:shd w:val="clear" w:color="auto" w:fill="auto"/>
            <w:noWrap/>
            <w:vAlign w:val="bottom"/>
            <w:hideMark/>
          </w:tcPr>
          <w:p w14:paraId="66F22E2C" w14:textId="77777777" w:rsidR="00F006DD" w:rsidRPr="00F006DD" w:rsidRDefault="00F006DD" w:rsidP="00F006DD">
            <w:pPr>
              <w:ind w:right="0"/>
              <w:jc w:val="left"/>
              <w:rPr>
                <w:color w:val="000000"/>
                <w:sz w:val="20"/>
                <w:szCs w:val="20"/>
                <w:lang w:val="es-419" w:eastAsia="es-419"/>
              </w:rPr>
            </w:pPr>
            <w:r w:rsidRPr="00F006DD">
              <w:rPr>
                <w:color w:val="000000"/>
                <w:sz w:val="20"/>
                <w:szCs w:val="20"/>
                <w:lang w:val="es-419" w:eastAsia="es-419"/>
              </w:rPr>
              <w:t xml:space="preserve">               84 203 </w:t>
            </w:r>
          </w:p>
        </w:tc>
      </w:tr>
    </w:tbl>
    <w:p w14:paraId="1DA02B2A" w14:textId="77777777" w:rsidR="00D7382A" w:rsidRDefault="00D7382A" w:rsidP="00A65F5F">
      <w:pPr>
        <w:ind w:left="-540" w:right="-25"/>
        <w:jc w:val="center"/>
      </w:pPr>
    </w:p>
    <w:p w14:paraId="07EFB898" w14:textId="77777777" w:rsidR="00A65F5F" w:rsidRPr="00D4533E" w:rsidRDefault="00A65F5F" w:rsidP="00A65F5F">
      <w:pPr>
        <w:ind w:right="-25"/>
        <w:jc w:val="center"/>
        <w:rPr>
          <w:sz w:val="20"/>
          <w:szCs w:val="20"/>
        </w:rPr>
      </w:pPr>
      <w:r w:rsidRPr="00CA31E8">
        <w:rPr>
          <w:b/>
          <w:sz w:val="20"/>
          <w:szCs w:val="20"/>
        </w:rPr>
        <w:t>Nota:</w:t>
      </w:r>
      <w:r w:rsidRPr="00CA31E8">
        <w:rPr>
          <w:sz w:val="20"/>
          <w:szCs w:val="20"/>
        </w:rPr>
        <w:t xml:space="preserve"> Las </w:t>
      </w:r>
      <w:r w:rsidRPr="00D4533E">
        <w:rPr>
          <w:sz w:val="20"/>
          <w:szCs w:val="20"/>
        </w:rPr>
        <w:t>compras se definen como el Costo de Operación más la diferencia anual del monto del inventario</w:t>
      </w:r>
    </w:p>
    <w:p w14:paraId="12894416" w14:textId="77777777" w:rsidR="00A65F5F" w:rsidRPr="00D4533E" w:rsidRDefault="00A65F5F" w:rsidP="00A65F5F">
      <w:pPr>
        <w:ind w:left="-540" w:right="-25"/>
      </w:pPr>
    </w:p>
    <w:p w14:paraId="3705C18E" w14:textId="77777777" w:rsidR="00A65F5F" w:rsidRPr="00D4533E" w:rsidRDefault="00A65F5F" w:rsidP="00A65F5F">
      <w:pPr>
        <w:ind w:left="-540" w:right="-25"/>
      </w:pPr>
      <w:r w:rsidRPr="004222B1">
        <w:t>El cálculo del período medio de pago presenta el mismo inconveniente descrito en la rotación de inventarios, debido a que no todos los componentes del costo de operación son bienes que se registren en el inventario o que formen parte del concepto “compras”, un ejemplo de ello son los gastos por arrendamiento de equipos. Por consiguiente</w:t>
      </w:r>
      <w:r w:rsidR="006B309A">
        <w:t>,</w:t>
      </w:r>
      <w:r w:rsidRPr="004222B1">
        <w:t xml:space="preserve"> este indicador debe ser analizado considerando dicha salvedad.</w:t>
      </w:r>
    </w:p>
    <w:p w14:paraId="72DF3BF3" w14:textId="77777777" w:rsidR="00A65F5F" w:rsidRPr="00326B73" w:rsidRDefault="00A65F5F" w:rsidP="00A65F5F">
      <w:pPr>
        <w:ind w:left="-540" w:right="-25"/>
        <w:rPr>
          <w:b/>
        </w:rPr>
      </w:pPr>
    </w:p>
    <w:p w14:paraId="790BD189" w14:textId="77777777" w:rsidR="00A65F5F" w:rsidRPr="000F5336" w:rsidRDefault="00A65F5F" w:rsidP="00A65F5F">
      <w:pPr>
        <w:pStyle w:val="Ttulo4"/>
      </w:pPr>
      <w:r w:rsidRPr="00B318A5">
        <w:t>2.3.3.6 Cuentas</w:t>
      </w:r>
      <w:r w:rsidR="00B318A5">
        <w:t xml:space="preserve"> por cobrar (antigüedad)</w:t>
      </w:r>
      <w:r w:rsidRPr="00B318A5">
        <w:t>.</w:t>
      </w:r>
    </w:p>
    <w:p w14:paraId="55726323" w14:textId="77777777" w:rsidR="00A65F5F" w:rsidRPr="000F5336" w:rsidRDefault="000058BC" w:rsidP="00A65F5F">
      <w:pPr>
        <w:ind w:left="-540" w:right="-25"/>
      </w:pPr>
      <w:r>
        <w:t>La antigüedad de saldos considera tanto las cuentas por cobrar comerciales como las otras cuentas por cobrar no deterioradas.</w:t>
      </w:r>
    </w:p>
    <w:p w14:paraId="205224FC" w14:textId="77777777" w:rsidR="00A65F5F" w:rsidRPr="00C21C69" w:rsidRDefault="00A65F5F" w:rsidP="00A65F5F">
      <w:pPr>
        <w:ind w:left="-567" w:right="-25"/>
      </w:pPr>
      <w:r w:rsidRPr="000F5336">
        <w:t>El cuadro que se muestra a continuación se refiere al monto de la cartera de cuentas por cobrar.</w:t>
      </w:r>
      <w:r w:rsidR="00C545C7">
        <w:t xml:space="preserve">  La antigüedad de saldos considera tanto las cuentas por cobrar comerciales como las otras cuentas por cobrar </w:t>
      </w:r>
      <w:r w:rsidR="002809B7">
        <w:t>no deterioradas.</w:t>
      </w:r>
    </w:p>
    <w:p w14:paraId="0A61A746" w14:textId="77777777" w:rsidR="00A65F5F" w:rsidRPr="00D4533E" w:rsidRDefault="00A65F5F" w:rsidP="00A65F5F">
      <w:pPr>
        <w:ind w:left="-540" w:right="-25"/>
        <w:jc w:val="center"/>
        <w:rPr>
          <w:b/>
        </w:rPr>
      </w:pPr>
    </w:p>
    <w:p w14:paraId="5F5AE618" w14:textId="77777777" w:rsidR="00687A64" w:rsidRDefault="00687A64" w:rsidP="00A65F5F">
      <w:pPr>
        <w:ind w:left="-540" w:right="-25"/>
        <w:jc w:val="center"/>
      </w:pPr>
    </w:p>
    <w:p w14:paraId="3D3A135E" w14:textId="77777777" w:rsidR="00FF0AC4" w:rsidRDefault="00CB5E33" w:rsidP="00FA793E">
      <w:pPr>
        <w:ind w:left="-540" w:right="-25"/>
        <w:jc w:val="left"/>
      </w:pPr>
      <w:r w:rsidRPr="00E97E85">
        <w:t>E</w:t>
      </w:r>
      <w:r w:rsidR="00A954F5" w:rsidRPr="00E97E85">
        <w:t>n millones</w:t>
      </w:r>
      <w:r w:rsidRPr="00E97E85">
        <w:t xml:space="preserve"> de colones.</w:t>
      </w:r>
    </w:p>
    <w:p w14:paraId="7805BF28" w14:textId="77777777" w:rsidR="00CB5E33" w:rsidRDefault="00CB5E33" w:rsidP="00FA793E">
      <w:pPr>
        <w:ind w:left="-540" w:right="-25"/>
        <w:jc w:val="left"/>
      </w:pPr>
    </w:p>
    <w:p w14:paraId="60D0837F" w14:textId="7E91B7E1" w:rsidR="00D7382A" w:rsidRDefault="00D7382A" w:rsidP="006D3704">
      <w:pPr>
        <w:ind w:left="-540" w:right="-25"/>
        <w:jc w:val="center"/>
      </w:pPr>
    </w:p>
    <w:tbl>
      <w:tblPr>
        <w:tblW w:w="9497" w:type="dxa"/>
        <w:jc w:val="center"/>
        <w:tblCellMar>
          <w:left w:w="70" w:type="dxa"/>
          <w:right w:w="70" w:type="dxa"/>
        </w:tblCellMar>
        <w:tblLook w:val="04A0" w:firstRow="1" w:lastRow="0" w:firstColumn="1" w:lastColumn="0" w:noHBand="0" w:noVBand="1"/>
      </w:tblPr>
      <w:tblGrid>
        <w:gridCol w:w="3055"/>
        <w:gridCol w:w="1975"/>
        <w:gridCol w:w="250"/>
        <w:gridCol w:w="1155"/>
        <w:gridCol w:w="216"/>
        <w:gridCol w:w="1275"/>
        <w:gridCol w:w="216"/>
        <w:gridCol w:w="1355"/>
      </w:tblGrid>
      <w:tr w:rsidR="004E10C9" w:rsidRPr="00D75232" w14:paraId="1AB93F03"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505B1199" w14:textId="77777777" w:rsidR="004E10C9" w:rsidRPr="00D75232" w:rsidRDefault="004E10C9" w:rsidP="00122EF5">
            <w:pPr>
              <w:ind w:right="0"/>
              <w:jc w:val="left"/>
              <w:rPr>
                <w:i/>
                <w:iCs/>
                <w:color w:val="000000"/>
                <w:sz w:val="22"/>
                <w:szCs w:val="22"/>
                <w:lang w:val="es-419" w:eastAsia="es-419"/>
              </w:rPr>
            </w:pPr>
            <w:r w:rsidRPr="00D75232">
              <w:rPr>
                <w:i/>
                <w:iCs/>
                <w:color w:val="000000"/>
                <w:sz w:val="22"/>
                <w:szCs w:val="22"/>
                <w:lang w:val="es-419" w:eastAsia="es-419"/>
              </w:rPr>
              <w:t>(Cifras en millones de colones)</w:t>
            </w:r>
          </w:p>
        </w:tc>
        <w:tc>
          <w:tcPr>
            <w:tcW w:w="1975" w:type="dxa"/>
            <w:tcBorders>
              <w:top w:val="nil"/>
              <w:left w:val="nil"/>
              <w:bottom w:val="nil"/>
              <w:right w:val="nil"/>
            </w:tcBorders>
            <w:shd w:val="clear" w:color="auto" w:fill="auto"/>
            <w:noWrap/>
            <w:vAlign w:val="bottom"/>
            <w:hideMark/>
          </w:tcPr>
          <w:p w14:paraId="50BEF0D3" w14:textId="77777777" w:rsidR="004E10C9" w:rsidRPr="00D75232" w:rsidRDefault="004E10C9" w:rsidP="00122EF5">
            <w:pPr>
              <w:ind w:right="0"/>
              <w:jc w:val="left"/>
              <w:rPr>
                <w:i/>
                <w:iCs/>
                <w:color w:val="000000"/>
                <w:sz w:val="22"/>
                <w:szCs w:val="22"/>
                <w:lang w:val="es-419" w:eastAsia="es-419"/>
              </w:rPr>
            </w:pPr>
          </w:p>
        </w:tc>
        <w:tc>
          <w:tcPr>
            <w:tcW w:w="250" w:type="dxa"/>
            <w:tcBorders>
              <w:top w:val="nil"/>
              <w:left w:val="nil"/>
              <w:bottom w:val="nil"/>
              <w:right w:val="nil"/>
            </w:tcBorders>
            <w:shd w:val="clear" w:color="auto" w:fill="auto"/>
            <w:noWrap/>
            <w:vAlign w:val="bottom"/>
            <w:hideMark/>
          </w:tcPr>
          <w:p w14:paraId="4829AB1D" w14:textId="77777777" w:rsidR="004E10C9" w:rsidRPr="00D75232" w:rsidRDefault="004E10C9" w:rsidP="00122EF5">
            <w:pPr>
              <w:ind w:right="0"/>
              <w:jc w:val="left"/>
              <w:rPr>
                <w:sz w:val="20"/>
                <w:szCs w:val="20"/>
                <w:lang w:val="es-419" w:eastAsia="es-419"/>
              </w:rPr>
            </w:pPr>
          </w:p>
        </w:tc>
        <w:tc>
          <w:tcPr>
            <w:tcW w:w="1155" w:type="dxa"/>
            <w:tcBorders>
              <w:top w:val="nil"/>
              <w:left w:val="nil"/>
              <w:bottom w:val="nil"/>
              <w:right w:val="nil"/>
            </w:tcBorders>
            <w:shd w:val="clear" w:color="auto" w:fill="auto"/>
            <w:noWrap/>
            <w:vAlign w:val="bottom"/>
            <w:hideMark/>
          </w:tcPr>
          <w:p w14:paraId="019656EC" w14:textId="77777777" w:rsidR="004E10C9" w:rsidRPr="00D75232" w:rsidRDefault="004E10C9" w:rsidP="00122EF5">
            <w:pPr>
              <w:ind w:right="0"/>
              <w:jc w:val="left"/>
              <w:rPr>
                <w:sz w:val="20"/>
                <w:szCs w:val="20"/>
                <w:lang w:val="es-419" w:eastAsia="es-419"/>
              </w:rPr>
            </w:pPr>
          </w:p>
        </w:tc>
        <w:tc>
          <w:tcPr>
            <w:tcW w:w="216" w:type="dxa"/>
            <w:tcBorders>
              <w:top w:val="nil"/>
              <w:left w:val="nil"/>
              <w:bottom w:val="nil"/>
              <w:right w:val="nil"/>
            </w:tcBorders>
            <w:shd w:val="clear" w:color="auto" w:fill="auto"/>
            <w:noWrap/>
            <w:vAlign w:val="bottom"/>
            <w:hideMark/>
          </w:tcPr>
          <w:p w14:paraId="7F9157F9" w14:textId="77777777" w:rsidR="004E10C9" w:rsidRPr="00D75232" w:rsidRDefault="004E10C9" w:rsidP="00122EF5">
            <w:pPr>
              <w:ind w:right="0"/>
              <w:jc w:val="left"/>
              <w:rPr>
                <w:sz w:val="20"/>
                <w:szCs w:val="20"/>
                <w:lang w:val="es-419" w:eastAsia="es-419"/>
              </w:rPr>
            </w:pPr>
          </w:p>
        </w:tc>
        <w:tc>
          <w:tcPr>
            <w:tcW w:w="1275" w:type="dxa"/>
            <w:tcBorders>
              <w:top w:val="nil"/>
              <w:left w:val="nil"/>
              <w:bottom w:val="nil"/>
              <w:right w:val="nil"/>
            </w:tcBorders>
            <w:shd w:val="clear" w:color="auto" w:fill="auto"/>
            <w:noWrap/>
            <w:vAlign w:val="bottom"/>
            <w:hideMark/>
          </w:tcPr>
          <w:p w14:paraId="05E8ED2A" w14:textId="77777777" w:rsidR="004E10C9" w:rsidRPr="00D75232" w:rsidRDefault="004E10C9" w:rsidP="00122EF5">
            <w:pPr>
              <w:ind w:right="0"/>
              <w:jc w:val="left"/>
              <w:rPr>
                <w:sz w:val="20"/>
                <w:szCs w:val="20"/>
                <w:lang w:val="es-419" w:eastAsia="es-419"/>
              </w:rPr>
            </w:pPr>
          </w:p>
        </w:tc>
        <w:tc>
          <w:tcPr>
            <w:tcW w:w="216" w:type="dxa"/>
            <w:tcBorders>
              <w:top w:val="nil"/>
              <w:left w:val="nil"/>
              <w:bottom w:val="nil"/>
              <w:right w:val="nil"/>
            </w:tcBorders>
            <w:shd w:val="clear" w:color="auto" w:fill="auto"/>
            <w:noWrap/>
            <w:vAlign w:val="bottom"/>
            <w:hideMark/>
          </w:tcPr>
          <w:p w14:paraId="53DF0D18" w14:textId="77777777" w:rsidR="004E10C9" w:rsidRPr="00D75232" w:rsidRDefault="004E10C9" w:rsidP="00122EF5">
            <w:pPr>
              <w:ind w:right="0"/>
              <w:jc w:val="left"/>
              <w:rPr>
                <w:sz w:val="20"/>
                <w:szCs w:val="20"/>
                <w:lang w:val="es-419" w:eastAsia="es-419"/>
              </w:rPr>
            </w:pPr>
          </w:p>
        </w:tc>
        <w:tc>
          <w:tcPr>
            <w:tcW w:w="1355" w:type="dxa"/>
            <w:tcBorders>
              <w:top w:val="nil"/>
              <w:left w:val="nil"/>
              <w:bottom w:val="nil"/>
              <w:right w:val="nil"/>
            </w:tcBorders>
            <w:shd w:val="clear" w:color="auto" w:fill="auto"/>
            <w:noWrap/>
            <w:vAlign w:val="bottom"/>
            <w:hideMark/>
          </w:tcPr>
          <w:p w14:paraId="2F062B56" w14:textId="77777777" w:rsidR="004E10C9" w:rsidRPr="00D75232" w:rsidRDefault="004E10C9" w:rsidP="00122EF5">
            <w:pPr>
              <w:ind w:right="0"/>
              <w:jc w:val="left"/>
              <w:rPr>
                <w:sz w:val="20"/>
                <w:szCs w:val="20"/>
                <w:lang w:val="es-419" w:eastAsia="es-419"/>
              </w:rPr>
            </w:pPr>
          </w:p>
        </w:tc>
      </w:tr>
      <w:tr w:rsidR="004E10C9" w:rsidRPr="00D75232" w14:paraId="16B0E4C5" w14:textId="77777777" w:rsidTr="004C75F1">
        <w:trPr>
          <w:trHeight w:val="600"/>
          <w:jc w:val="center"/>
        </w:trPr>
        <w:tc>
          <w:tcPr>
            <w:tcW w:w="3055" w:type="dxa"/>
            <w:tcBorders>
              <w:top w:val="nil"/>
              <w:left w:val="nil"/>
              <w:bottom w:val="single" w:sz="4" w:space="0" w:color="auto"/>
              <w:right w:val="nil"/>
            </w:tcBorders>
            <w:shd w:val="clear" w:color="auto" w:fill="auto"/>
            <w:vAlign w:val="bottom"/>
            <w:hideMark/>
          </w:tcPr>
          <w:p w14:paraId="4FB3157B" w14:textId="77777777" w:rsidR="004E10C9" w:rsidRPr="00D75232" w:rsidRDefault="004E10C9" w:rsidP="00122EF5">
            <w:pPr>
              <w:ind w:right="0"/>
              <w:jc w:val="center"/>
              <w:rPr>
                <w:sz w:val="22"/>
                <w:szCs w:val="22"/>
                <w:lang w:val="es-419" w:eastAsia="es-419"/>
              </w:rPr>
            </w:pPr>
            <w:r w:rsidRPr="00D75232">
              <w:rPr>
                <w:sz w:val="22"/>
                <w:szCs w:val="22"/>
                <w:lang w:val="es-419" w:eastAsia="es-419"/>
              </w:rPr>
              <w:t>31 de diciembre de 2022</w:t>
            </w:r>
          </w:p>
        </w:tc>
        <w:tc>
          <w:tcPr>
            <w:tcW w:w="1975" w:type="dxa"/>
            <w:tcBorders>
              <w:top w:val="nil"/>
              <w:left w:val="nil"/>
              <w:bottom w:val="single" w:sz="4" w:space="0" w:color="auto"/>
              <w:right w:val="nil"/>
            </w:tcBorders>
            <w:shd w:val="clear" w:color="auto" w:fill="auto"/>
            <w:vAlign w:val="bottom"/>
            <w:hideMark/>
          </w:tcPr>
          <w:p w14:paraId="244BDCC9" w14:textId="77777777" w:rsidR="004E10C9" w:rsidRPr="00D75232" w:rsidRDefault="004E10C9" w:rsidP="00122EF5">
            <w:pPr>
              <w:ind w:right="0"/>
              <w:jc w:val="center"/>
              <w:rPr>
                <w:sz w:val="22"/>
                <w:szCs w:val="22"/>
                <w:lang w:val="es-419" w:eastAsia="es-419"/>
              </w:rPr>
            </w:pPr>
            <w:r w:rsidRPr="00D75232">
              <w:rPr>
                <w:sz w:val="22"/>
                <w:szCs w:val="22"/>
                <w:lang w:val="es-419" w:eastAsia="es-419"/>
              </w:rPr>
              <w:t>Tasa de pérdida promedio ponderada</w:t>
            </w:r>
          </w:p>
        </w:tc>
        <w:tc>
          <w:tcPr>
            <w:tcW w:w="250" w:type="dxa"/>
            <w:tcBorders>
              <w:top w:val="nil"/>
              <w:left w:val="nil"/>
              <w:bottom w:val="nil"/>
              <w:right w:val="nil"/>
            </w:tcBorders>
            <w:shd w:val="clear" w:color="auto" w:fill="auto"/>
            <w:vAlign w:val="bottom"/>
            <w:hideMark/>
          </w:tcPr>
          <w:p w14:paraId="0D61E157" w14:textId="77777777" w:rsidR="004E10C9" w:rsidRPr="00D75232" w:rsidRDefault="004E10C9" w:rsidP="00122EF5">
            <w:pPr>
              <w:ind w:right="0"/>
              <w:jc w:val="center"/>
              <w:rPr>
                <w:sz w:val="22"/>
                <w:szCs w:val="22"/>
                <w:lang w:val="es-419" w:eastAsia="es-419"/>
              </w:rPr>
            </w:pPr>
          </w:p>
        </w:tc>
        <w:tc>
          <w:tcPr>
            <w:tcW w:w="1155" w:type="dxa"/>
            <w:tcBorders>
              <w:top w:val="nil"/>
              <w:left w:val="nil"/>
              <w:bottom w:val="single" w:sz="4" w:space="0" w:color="auto"/>
              <w:right w:val="nil"/>
            </w:tcBorders>
            <w:shd w:val="clear" w:color="auto" w:fill="auto"/>
            <w:vAlign w:val="bottom"/>
            <w:hideMark/>
          </w:tcPr>
          <w:p w14:paraId="7F0E83AB" w14:textId="77777777" w:rsidR="004E10C9" w:rsidRPr="00D75232" w:rsidRDefault="004E10C9" w:rsidP="00122EF5">
            <w:pPr>
              <w:ind w:right="0"/>
              <w:jc w:val="center"/>
              <w:rPr>
                <w:sz w:val="22"/>
                <w:szCs w:val="22"/>
                <w:lang w:val="es-419" w:eastAsia="es-419"/>
              </w:rPr>
            </w:pPr>
            <w:r w:rsidRPr="00D75232">
              <w:rPr>
                <w:sz w:val="22"/>
                <w:szCs w:val="22"/>
                <w:lang w:val="es-419" w:eastAsia="es-419"/>
              </w:rPr>
              <w:t>Importe en libros bruto</w:t>
            </w:r>
          </w:p>
        </w:tc>
        <w:tc>
          <w:tcPr>
            <w:tcW w:w="216" w:type="dxa"/>
            <w:tcBorders>
              <w:top w:val="nil"/>
              <w:left w:val="nil"/>
              <w:bottom w:val="nil"/>
              <w:right w:val="nil"/>
            </w:tcBorders>
            <w:shd w:val="clear" w:color="auto" w:fill="auto"/>
            <w:vAlign w:val="bottom"/>
            <w:hideMark/>
          </w:tcPr>
          <w:p w14:paraId="6ADE38BF" w14:textId="77777777" w:rsidR="004E10C9" w:rsidRPr="00D75232" w:rsidRDefault="004E10C9" w:rsidP="00122EF5">
            <w:pPr>
              <w:ind w:right="0"/>
              <w:jc w:val="center"/>
              <w:rPr>
                <w:sz w:val="22"/>
                <w:szCs w:val="22"/>
                <w:lang w:val="es-419" w:eastAsia="es-419"/>
              </w:rPr>
            </w:pPr>
          </w:p>
        </w:tc>
        <w:tc>
          <w:tcPr>
            <w:tcW w:w="1275" w:type="dxa"/>
            <w:tcBorders>
              <w:top w:val="nil"/>
              <w:left w:val="nil"/>
              <w:bottom w:val="single" w:sz="4" w:space="0" w:color="auto"/>
              <w:right w:val="nil"/>
            </w:tcBorders>
            <w:shd w:val="clear" w:color="auto" w:fill="auto"/>
            <w:vAlign w:val="bottom"/>
            <w:hideMark/>
          </w:tcPr>
          <w:p w14:paraId="6A33DA84" w14:textId="77777777" w:rsidR="004E10C9" w:rsidRPr="00D75232" w:rsidRDefault="004E10C9" w:rsidP="00122EF5">
            <w:pPr>
              <w:ind w:right="0"/>
              <w:jc w:val="center"/>
              <w:rPr>
                <w:sz w:val="22"/>
                <w:szCs w:val="22"/>
                <w:lang w:val="es-419" w:eastAsia="es-419"/>
              </w:rPr>
            </w:pPr>
            <w:r w:rsidRPr="00D75232">
              <w:rPr>
                <w:sz w:val="22"/>
                <w:szCs w:val="22"/>
                <w:lang w:val="es-419" w:eastAsia="es-419"/>
              </w:rPr>
              <w:t xml:space="preserve">Estimación para pérdida </w:t>
            </w:r>
          </w:p>
        </w:tc>
        <w:tc>
          <w:tcPr>
            <w:tcW w:w="216" w:type="dxa"/>
            <w:tcBorders>
              <w:top w:val="nil"/>
              <w:left w:val="nil"/>
              <w:bottom w:val="single" w:sz="4" w:space="0" w:color="auto"/>
              <w:right w:val="nil"/>
            </w:tcBorders>
            <w:shd w:val="clear" w:color="auto" w:fill="auto"/>
            <w:vAlign w:val="bottom"/>
            <w:hideMark/>
          </w:tcPr>
          <w:p w14:paraId="6252DFC7" w14:textId="77777777" w:rsidR="004E10C9" w:rsidRPr="00D75232" w:rsidRDefault="004E10C9" w:rsidP="00122EF5">
            <w:pPr>
              <w:ind w:right="0"/>
              <w:jc w:val="center"/>
              <w:rPr>
                <w:sz w:val="22"/>
                <w:szCs w:val="22"/>
                <w:lang w:val="es-419" w:eastAsia="es-419"/>
              </w:rPr>
            </w:pPr>
            <w:r w:rsidRPr="00D75232">
              <w:rPr>
                <w:sz w:val="22"/>
                <w:szCs w:val="22"/>
                <w:lang w:val="es-419" w:eastAsia="es-419"/>
              </w:rPr>
              <w:t> </w:t>
            </w:r>
          </w:p>
        </w:tc>
        <w:tc>
          <w:tcPr>
            <w:tcW w:w="1355" w:type="dxa"/>
            <w:tcBorders>
              <w:top w:val="nil"/>
              <w:left w:val="nil"/>
              <w:bottom w:val="single" w:sz="4" w:space="0" w:color="auto"/>
              <w:right w:val="nil"/>
            </w:tcBorders>
            <w:shd w:val="clear" w:color="auto" w:fill="auto"/>
            <w:vAlign w:val="bottom"/>
            <w:hideMark/>
          </w:tcPr>
          <w:p w14:paraId="205FCFBA" w14:textId="77777777" w:rsidR="004E10C9" w:rsidRPr="00D75232" w:rsidRDefault="004E10C9" w:rsidP="00122EF5">
            <w:pPr>
              <w:ind w:right="0"/>
              <w:jc w:val="center"/>
              <w:rPr>
                <w:sz w:val="22"/>
                <w:szCs w:val="22"/>
                <w:lang w:val="es-419" w:eastAsia="es-419"/>
              </w:rPr>
            </w:pPr>
            <w:r w:rsidRPr="00D75232">
              <w:rPr>
                <w:sz w:val="22"/>
                <w:szCs w:val="22"/>
                <w:lang w:val="es-419" w:eastAsia="es-419"/>
              </w:rPr>
              <w:t xml:space="preserve">Con deterioro crediticio </w:t>
            </w:r>
          </w:p>
        </w:tc>
      </w:tr>
      <w:tr w:rsidR="004E10C9" w:rsidRPr="00D75232" w14:paraId="64307AD2"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1B451703" w14:textId="77777777" w:rsidR="004E10C9" w:rsidRPr="00D75232" w:rsidRDefault="004E10C9" w:rsidP="00122EF5">
            <w:pPr>
              <w:ind w:right="0"/>
              <w:jc w:val="left"/>
              <w:rPr>
                <w:sz w:val="22"/>
                <w:szCs w:val="22"/>
                <w:lang w:val="es-419" w:eastAsia="es-419"/>
              </w:rPr>
            </w:pPr>
            <w:r w:rsidRPr="00D75232">
              <w:rPr>
                <w:sz w:val="22"/>
                <w:szCs w:val="22"/>
                <w:lang w:val="es-419" w:eastAsia="es-419"/>
              </w:rPr>
              <w:t>Corriente (no vencido)</w:t>
            </w:r>
          </w:p>
        </w:tc>
        <w:tc>
          <w:tcPr>
            <w:tcW w:w="1975" w:type="dxa"/>
            <w:tcBorders>
              <w:top w:val="nil"/>
              <w:left w:val="nil"/>
              <w:bottom w:val="nil"/>
              <w:right w:val="nil"/>
            </w:tcBorders>
            <w:shd w:val="clear" w:color="auto" w:fill="auto"/>
            <w:noWrap/>
            <w:vAlign w:val="bottom"/>
            <w:hideMark/>
          </w:tcPr>
          <w:p w14:paraId="44907F78" w14:textId="77777777" w:rsidR="004E10C9" w:rsidRPr="00D75232" w:rsidRDefault="004E10C9" w:rsidP="00122EF5">
            <w:pPr>
              <w:ind w:right="0"/>
              <w:jc w:val="center"/>
              <w:rPr>
                <w:sz w:val="22"/>
                <w:szCs w:val="22"/>
                <w:lang w:val="es-419" w:eastAsia="es-419"/>
              </w:rPr>
            </w:pPr>
            <w:r w:rsidRPr="00D75232">
              <w:rPr>
                <w:sz w:val="22"/>
                <w:szCs w:val="22"/>
                <w:lang w:val="es-419" w:eastAsia="es-419"/>
              </w:rPr>
              <w:t>5,33%</w:t>
            </w:r>
          </w:p>
        </w:tc>
        <w:tc>
          <w:tcPr>
            <w:tcW w:w="250" w:type="dxa"/>
            <w:tcBorders>
              <w:top w:val="nil"/>
              <w:left w:val="nil"/>
              <w:bottom w:val="nil"/>
              <w:right w:val="nil"/>
            </w:tcBorders>
            <w:shd w:val="clear" w:color="auto" w:fill="auto"/>
            <w:noWrap/>
            <w:vAlign w:val="bottom"/>
            <w:hideMark/>
          </w:tcPr>
          <w:p w14:paraId="7676ECF7" w14:textId="77777777" w:rsidR="004E10C9" w:rsidRPr="00D75232" w:rsidRDefault="004E10C9" w:rsidP="00122EF5">
            <w:pPr>
              <w:ind w:right="0"/>
              <w:jc w:val="center"/>
              <w:rPr>
                <w:sz w:val="22"/>
                <w:szCs w:val="22"/>
                <w:lang w:val="es-419" w:eastAsia="es-419"/>
              </w:rPr>
            </w:pPr>
            <w:r w:rsidRPr="00D75232">
              <w:rPr>
                <w:sz w:val="22"/>
                <w:szCs w:val="22"/>
                <w:lang w:val="es-419" w:eastAsia="es-419"/>
              </w:rPr>
              <w:t>¢</w:t>
            </w:r>
          </w:p>
        </w:tc>
        <w:tc>
          <w:tcPr>
            <w:tcW w:w="1155" w:type="dxa"/>
            <w:tcBorders>
              <w:top w:val="nil"/>
              <w:left w:val="nil"/>
              <w:bottom w:val="nil"/>
              <w:right w:val="nil"/>
            </w:tcBorders>
            <w:shd w:val="clear" w:color="auto" w:fill="auto"/>
            <w:vAlign w:val="bottom"/>
            <w:hideMark/>
          </w:tcPr>
          <w:p w14:paraId="4B6DBFC8"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146.694 </w:t>
            </w:r>
          </w:p>
        </w:tc>
        <w:tc>
          <w:tcPr>
            <w:tcW w:w="216" w:type="dxa"/>
            <w:tcBorders>
              <w:top w:val="nil"/>
              <w:left w:val="nil"/>
              <w:bottom w:val="nil"/>
              <w:right w:val="nil"/>
            </w:tcBorders>
            <w:shd w:val="clear" w:color="auto" w:fill="auto"/>
            <w:vAlign w:val="bottom"/>
            <w:hideMark/>
          </w:tcPr>
          <w:p w14:paraId="4C6345D4" w14:textId="77777777" w:rsidR="004E10C9" w:rsidRPr="00D75232" w:rsidRDefault="004E10C9" w:rsidP="00122EF5">
            <w:pPr>
              <w:ind w:right="0"/>
              <w:jc w:val="center"/>
              <w:rPr>
                <w:color w:val="000000"/>
                <w:sz w:val="22"/>
                <w:szCs w:val="22"/>
                <w:lang w:val="es-419" w:eastAsia="es-419"/>
              </w:rPr>
            </w:pPr>
          </w:p>
        </w:tc>
        <w:tc>
          <w:tcPr>
            <w:tcW w:w="1275" w:type="dxa"/>
            <w:tcBorders>
              <w:top w:val="nil"/>
              <w:left w:val="nil"/>
              <w:bottom w:val="nil"/>
              <w:right w:val="nil"/>
            </w:tcBorders>
            <w:shd w:val="clear" w:color="auto" w:fill="auto"/>
            <w:vAlign w:val="bottom"/>
            <w:hideMark/>
          </w:tcPr>
          <w:p w14:paraId="177ABE9E"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7.814 </w:t>
            </w:r>
          </w:p>
        </w:tc>
        <w:tc>
          <w:tcPr>
            <w:tcW w:w="216" w:type="dxa"/>
            <w:tcBorders>
              <w:top w:val="nil"/>
              <w:left w:val="nil"/>
              <w:bottom w:val="nil"/>
              <w:right w:val="nil"/>
            </w:tcBorders>
            <w:shd w:val="clear" w:color="auto" w:fill="auto"/>
            <w:vAlign w:val="bottom"/>
            <w:hideMark/>
          </w:tcPr>
          <w:p w14:paraId="5AEF7CC0"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auto" w:fill="auto"/>
            <w:noWrap/>
            <w:vAlign w:val="bottom"/>
            <w:hideMark/>
          </w:tcPr>
          <w:p w14:paraId="3091CB49" w14:textId="77777777" w:rsidR="004E10C9" w:rsidRPr="00D75232" w:rsidRDefault="004E10C9" w:rsidP="00122EF5">
            <w:pPr>
              <w:ind w:right="0"/>
              <w:jc w:val="center"/>
              <w:rPr>
                <w:sz w:val="22"/>
                <w:szCs w:val="22"/>
                <w:lang w:val="es-419" w:eastAsia="es-419"/>
              </w:rPr>
            </w:pPr>
            <w:r w:rsidRPr="00D75232">
              <w:rPr>
                <w:sz w:val="22"/>
                <w:szCs w:val="22"/>
                <w:lang w:val="es-419" w:eastAsia="es-419"/>
              </w:rPr>
              <w:t xml:space="preserve">No </w:t>
            </w:r>
          </w:p>
        </w:tc>
      </w:tr>
      <w:tr w:rsidR="004E10C9" w:rsidRPr="00D75232" w14:paraId="26C3125F"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32E4B92F" w14:textId="77777777" w:rsidR="004E10C9" w:rsidRPr="00D75232" w:rsidRDefault="004E10C9" w:rsidP="00122EF5">
            <w:pPr>
              <w:ind w:right="0"/>
              <w:jc w:val="left"/>
              <w:rPr>
                <w:sz w:val="22"/>
                <w:szCs w:val="22"/>
                <w:lang w:val="es-419" w:eastAsia="es-419"/>
              </w:rPr>
            </w:pPr>
            <w:r w:rsidRPr="00D75232">
              <w:rPr>
                <w:sz w:val="22"/>
                <w:szCs w:val="22"/>
                <w:lang w:val="es-419" w:eastAsia="es-419"/>
              </w:rPr>
              <w:t>1 a 30 días</w:t>
            </w:r>
          </w:p>
        </w:tc>
        <w:tc>
          <w:tcPr>
            <w:tcW w:w="1975" w:type="dxa"/>
            <w:tcBorders>
              <w:top w:val="nil"/>
              <w:left w:val="nil"/>
              <w:bottom w:val="nil"/>
              <w:right w:val="nil"/>
            </w:tcBorders>
            <w:shd w:val="clear" w:color="auto" w:fill="auto"/>
            <w:noWrap/>
            <w:vAlign w:val="bottom"/>
            <w:hideMark/>
          </w:tcPr>
          <w:p w14:paraId="0BA11353" w14:textId="77777777" w:rsidR="004E10C9" w:rsidRPr="00D75232" w:rsidRDefault="004E10C9" w:rsidP="00122EF5">
            <w:pPr>
              <w:ind w:right="0"/>
              <w:jc w:val="center"/>
              <w:rPr>
                <w:sz w:val="22"/>
                <w:szCs w:val="22"/>
                <w:lang w:val="es-419" w:eastAsia="es-419"/>
              </w:rPr>
            </w:pPr>
            <w:r w:rsidRPr="00D75232">
              <w:rPr>
                <w:sz w:val="22"/>
                <w:szCs w:val="22"/>
                <w:lang w:val="es-419" w:eastAsia="es-419"/>
              </w:rPr>
              <w:t>9,94%</w:t>
            </w:r>
          </w:p>
        </w:tc>
        <w:tc>
          <w:tcPr>
            <w:tcW w:w="250" w:type="dxa"/>
            <w:tcBorders>
              <w:top w:val="nil"/>
              <w:left w:val="nil"/>
              <w:bottom w:val="nil"/>
              <w:right w:val="nil"/>
            </w:tcBorders>
            <w:shd w:val="clear" w:color="auto" w:fill="auto"/>
            <w:noWrap/>
            <w:vAlign w:val="bottom"/>
            <w:hideMark/>
          </w:tcPr>
          <w:p w14:paraId="3D6F0310" w14:textId="77777777" w:rsidR="004E10C9" w:rsidRPr="00D75232" w:rsidRDefault="004E10C9" w:rsidP="00122EF5">
            <w:pPr>
              <w:ind w:right="0"/>
              <w:jc w:val="center"/>
              <w:rPr>
                <w:sz w:val="22"/>
                <w:szCs w:val="22"/>
                <w:lang w:val="es-419" w:eastAsia="es-419"/>
              </w:rPr>
            </w:pPr>
          </w:p>
        </w:tc>
        <w:tc>
          <w:tcPr>
            <w:tcW w:w="1155" w:type="dxa"/>
            <w:tcBorders>
              <w:top w:val="nil"/>
              <w:left w:val="nil"/>
              <w:bottom w:val="nil"/>
              <w:right w:val="nil"/>
            </w:tcBorders>
            <w:shd w:val="clear" w:color="auto" w:fill="auto"/>
            <w:vAlign w:val="bottom"/>
            <w:hideMark/>
          </w:tcPr>
          <w:p w14:paraId="66D54138"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12.691 </w:t>
            </w:r>
          </w:p>
        </w:tc>
        <w:tc>
          <w:tcPr>
            <w:tcW w:w="216" w:type="dxa"/>
            <w:tcBorders>
              <w:top w:val="nil"/>
              <w:left w:val="nil"/>
              <w:bottom w:val="nil"/>
              <w:right w:val="nil"/>
            </w:tcBorders>
            <w:shd w:val="clear" w:color="auto" w:fill="auto"/>
            <w:vAlign w:val="bottom"/>
            <w:hideMark/>
          </w:tcPr>
          <w:p w14:paraId="1E33FB54" w14:textId="77777777" w:rsidR="004E10C9" w:rsidRPr="00D75232" w:rsidRDefault="004E10C9" w:rsidP="00122EF5">
            <w:pPr>
              <w:ind w:right="0"/>
              <w:jc w:val="center"/>
              <w:rPr>
                <w:color w:val="000000"/>
                <w:sz w:val="22"/>
                <w:szCs w:val="22"/>
                <w:lang w:val="es-419" w:eastAsia="es-419"/>
              </w:rPr>
            </w:pPr>
          </w:p>
        </w:tc>
        <w:tc>
          <w:tcPr>
            <w:tcW w:w="1275" w:type="dxa"/>
            <w:tcBorders>
              <w:top w:val="nil"/>
              <w:left w:val="nil"/>
              <w:bottom w:val="nil"/>
              <w:right w:val="nil"/>
            </w:tcBorders>
            <w:shd w:val="clear" w:color="auto" w:fill="auto"/>
            <w:vAlign w:val="bottom"/>
            <w:hideMark/>
          </w:tcPr>
          <w:p w14:paraId="4B3D9444"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1.262 </w:t>
            </w:r>
          </w:p>
        </w:tc>
        <w:tc>
          <w:tcPr>
            <w:tcW w:w="216" w:type="dxa"/>
            <w:tcBorders>
              <w:top w:val="nil"/>
              <w:left w:val="nil"/>
              <w:bottom w:val="nil"/>
              <w:right w:val="nil"/>
            </w:tcBorders>
            <w:shd w:val="clear" w:color="auto" w:fill="auto"/>
            <w:vAlign w:val="bottom"/>
            <w:hideMark/>
          </w:tcPr>
          <w:p w14:paraId="146DCAE0"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auto" w:fill="auto"/>
            <w:noWrap/>
            <w:vAlign w:val="bottom"/>
            <w:hideMark/>
          </w:tcPr>
          <w:p w14:paraId="530CA281" w14:textId="77777777" w:rsidR="004E10C9" w:rsidRPr="00D75232" w:rsidRDefault="004E10C9" w:rsidP="00122EF5">
            <w:pPr>
              <w:ind w:right="0"/>
              <w:jc w:val="center"/>
              <w:rPr>
                <w:sz w:val="22"/>
                <w:szCs w:val="22"/>
                <w:lang w:val="es-419" w:eastAsia="es-419"/>
              </w:rPr>
            </w:pPr>
            <w:r w:rsidRPr="00D75232">
              <w:rPr>
                <w:sz w:val="22"/>
                <w:szCs w:val="22"/>
                <w:lang w:val="es-419" w:eastAsia="es-419"/>
              </w:rPr>
              <w:t xml:space="preserve">No </w:t>
            </w:r>
          </w:p>
        </w:tc>
      </w:tr>
      <w:tr w:rsidR="004E10C9" w:rsidRPr="00D75232" w14:paraId="75027DE4"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24A48262" w14:textId="77777777" w:rsidR="004E10C9" w:rsidRPr="00D75232" w:rsidRDefault="004E10C9" w:rsidP="00122EF5">
            <w:pPr>
              <w:ind w:right="0"/>
              <w:jc w:val="left"/>
              <w:rPr>
                <w:sz w:val="22"/>
                <w:szCs w:val="22"/>
                <w:lang w:val="es-419" w:eastAsia="es-419"/>
              </w:rPr>
            </w:pPr>
            <w:r w:rsidRPr="00D75232">
              <w:rPr>
                <w:sz w:val="22"/>
                <w:szCs w:val="22"/>
                <w:lang w:val="es-419" w:eastAsia="es-419"/>
              </w:rPr>
              <w:t>31 a 60 días</w:t>
            </w:r>
          </w:p>
        </w:tc>
        <w:tc>
          <w:tcPr>
            <w:tcW w:w="1975" w:type="dxa"/>
            <w:tcBorders>
              <w:top w:val="nil"/>
              <w:left w:val="nil"/>
              <w:bottom w:val="nil"/>
              <w:right w:val="nil"/>
            </w:tcBorders>
            <w:shd w:val="clear" w:color="auto" w:fill="auto"/>
            <w:noWrap/>
            <w:vAlign w:val="bottom"/>
            <w:hideMark/>
          </w:tcPr>
          <w:p w14:paraId="562AA219" w14:textId="77777777" w:rsidR="004E10C9" w:rsidRPr="00D75232" w:rsidRDefault="004E10C9" w:rsidP="00122EF5">
            <w:pPr>
              <w:ind w:right="0"/>
              <w:jc w:val="center"/>
              <w:rPr>
                <w:sz w:val="22"/>
                <w:szCs w:val="22"/>
                <w:lang w:val="es-419" w:eastAsia="es-419"/>
              </w:rPr>
            </w:pPr>
            <w:r w:rsidRPr="00D75232">
              <w:rPr>
                <w:sz w:val="22"/>
                <w:szCs w:val="22"/>
                <w:lang w:val="es-419" w:eastAsia="es-419"/>
              </w:rPr>
              <w:t>8,59%</w:t>
            </w:r>
          </w:p>
        </w:tc>
        <w:tc>
          <w:tcPr>
            <w:tcW w:w="250" w:type="dxa"/>
            <w:tcBorders>
              <w:top w:val="nil"/>
              <w:left w:val="nil"/>
              <w:bottom w:val="nil"/>
              <w:right w:val="nil"/>
            </w:tcBorders>
            <w:shd w:val="clear" w:color="auto" w:fill="auto"/>
            <w:noWrap/>
            <w:vAlign w:val="bottom"/>
            <w:hideMark/>
          </w:tcPr>
          <w:p w14:paraId="3C997146" w14:textId="77777777" w:rsidR="004E10C9" w:rsidRPr="00D75232" w:rsidRDefault="004E10C9" w:rsidP="00122EF5">
            <w:pPr>
              <w:ind w:right="0"/>
              <w:jc w:val="center"/>
              <w:rPr>
                <w:sz w:val="22"/>
                <w:szCs w:val="22"/>
                <w:lang w:val="es-419" w:eastAsia="es-419"/>
              </w:rPr>
            </w:pPr>
          </w:p>
        </w:tc>
        <w:tc>
          <w:tcPr>
            <w:tcW w:w="1155" w:type="dxa"/>
            <w:tcBorders>
              <w:top w:val="nil"/>
              <w:left w:val="nil"/>
              <w:bottom w:val="nil"/>
              <w:right w:val="nil"/>
            </w:tcBorders>
            <w:shd w:val="clear" w:color="auto" w:fill="auto"/>
            <w:vAlign w:val="bottom"/>
            <w:hideMark/>
          </w:tcPr>
          <w:p w14:paraId="659B5C40"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6.028 </w:t>
            </w:r>
          </w:p>
        </w:tc>
        <w:tc>
          <w:tcPr>
            <w:tcW w:w="216" w:type="dxa"/>
            <w:tcBorders>
              <w:top w:val="nil"/>
              <w:left w:val="nil"/>
              <w:bottom w:val="nil"/>
              <w:right w:val="nil"/>
            </w:tcBorders>
            <w:shd w:val="clear" w:color="auto" w:fill="auto"/>
            <w:vAlign w:val="bottom"/>
            <w:hideMark/>
          </w:tcPr>
          <w:p w14:paraId="142EEA94" w14:textId="77777777" w:rsidR="004E10C9" w:rsidRPr="00D75232" w:rsidRDefault="004E10C9" w:rsidP="00122EF5">
            <w:pPr>
              <w:ind w:right="0"/>
              <w:jc w:val="center"/>
              <w:rPr>
                <w:color w:val="000000"/>
                <w:sz w:val="22"/>
                <w:szCs w:val="22"/>
                <w:lang w:val="es-419" w:eastAsia="es-419"/>
              </w:rPr>
            </w:pPr>
          </w:p>
        </w:tc>
        <w:tc>
          <w:tcPr>
            <w:tcW w:w="1275" w:type="dxa"/>
            <w:tcBorders>
              <w:top w:val="nil"/>
              <w:left w:val="nil"/>
              <w:bottom w:val="nil"/>
              <w:right w:val="nil"/>
            </w:tcBorders>
            <w:shd w:val="clear" w:color="auto" w:fill="auto"/>
            <w:vAlign w:val="bottom"/>
            <w:hideMark/>
          </w:tcPr>
          <w:p w14:paraId="66E9F5BF"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518 </w:t>
            </w:r>
          </w:p>
        </w:tc>
        <w:tc>
          <w:tcPr>
            <w:tcW w:w="216" w:type="dxa"/>
            <w:tcBorders>
              <w:top w:val="nil"/>
              <w:left w:val="nil"/>
              <w:bottom w:val="nil"/>
              <w:right w:val="nil"/>
            </w:tcBorders>
            <w:shd w:val="clear" w:color="auto" w:fill="auto"/>
            <w:vAlign w:val="bottom"/>
            <w:hideMark/>
          </w:tcPr>
          <w:p w14:paraId="38859341"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auto" w:fill="auto"/>
            <w:noWrap/>
            <w:vAlign w:val="bottom"/>
            <w:hideMark/>
          </w:tcPr>
          <w:p w14:paraId="776EE98B" w14:textId="77777777" w:rsidR="004E10C9" w:rsidRPr="00D75232" w:rsidRDefault="004E10C9" w:rsidP="00122EF5">
            <w:pPr>
              <w:ind w:right="0"/>
              <w:jc w:val="center"/>
              <w:rPr>
                <w:sz w:val="22"/>
                <w:szCs w:val="22"/>
                <w:lang w:val="es-419" w:eastAsia="es-419"/>
              </w:rPr>
            </w:pPr>
            <w:r w:rsidRPr="00D75232">
              <w:rPr>
                <w:sz w:val="22"/>
                <w:szCs w:val="22"/>
                <w:lang w:val="es-419" w:eastAsia="es-419"/>
              </w:rPr>
              <w:t>Sí</w:t>
            </w:r>
          </w:p>
        </w:tc>
      </w:tr>
      <w:tr w:rsidR="004E10C9" w:rsidRPr="00D75232" w14:paraId="11C9C360"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7BA49287" w14:textId="77777777" w:rsidR="004E10C9" w:rsidRPr="00D75232" w:rsidRDefault="004E10C9" w:rsidP="00122EF5">
            <w:pPr>
              <w:ind w:right="0"/>
              <w:jc w:val="left"/>
              <w:rPr>
                <w:sz w:val="22"/>
                <w:szCs w:val="22"/>
                <w:lang w:val="es-419" w:eastAsia="es-419"/>
              </w:rPr>
            </w:pPr>
            <w:r w:rsidRPr="00D75232">
              <w:rPr>
                <w:sz w:val="22"/>
                <w:szCs w:val="22"/>
                <w:lang w:val="es-419" w:eastAsia="es-419"/>
              </w:rPr>
              <w:t>61 a 90 días</w:t>
            </w:r>
          </w:p>
        </w:tc>
        <w:tc>
          <w:tcPr>
            <w:tcW w:w="1975" w:type="dxa"/>
            <w:tcBorders>
              <w:top w:val="nil"/>
              <w:left w:val="nil"/>
              <w:bottom w:val="nil"/>
              <w:right w:val="nil"/>
            </w:tcBorders>
            <w:shd w:val="clear" w:color="auto" w:fill="auto"/>
            <w:noWrap/>
            <w:vAlign w:val="bottom"/>
            <w:hideMark/>
          </w:tcPr>
          <w:p w14:paraId="73964B3D" w14:textId="77777777" w:rsidR="004E10C9" w:rsidRPr="00D75232" w:rsidRDefault="004E10C9" w:rsidP="00122EF5">
            <w:pPr>
              <w:ind w:right="0"/>
              <w:jc w:val="center"/>
              <w:rPr>
                <w:sz w:val="22"/>
                <w:szCs w:val="22"/>
                <w:lang w:val="es-419" w:eastAsia="es-419"/>
              </w:rPr>
            </w:pPr>
            <w:r w:rsidRPr="00D75232">
              <w:rPr>
                <w:sz w:val="22"/>
                <w:szCs w:val="22"/>
                <w:lang w:val="es-419" w:eastAsia="es-419"/>
              </w:rPr>
              <w:t>11,78%</w:t>
            </w:r>
          </w:p>
        </w:tc>
        <w:tc>
          <w:tcPr>
            <w:tcW w:w="250" w:type="dxa"/>
            <w:tcBorders>
              <w:top w:val="nil"/>
              <w:left w:val="nil"/>
              <w:bottom w:val="nil"/>
              <w:right w:val="nil"/>
            </w:tcBorders>
            <w:shd w:val="clear" w:color="auto" w:fill="auto"/>
            <w:noWrap/>
            <w:vAlign w:val="bottom"/>
            <w:hideMark/>
          </w:tcPr>
          <w:p w14:paraId="67D14949" w14:textId="77777777" w:rsidR="004E10C9" w:rsidRPr="00D75232" w:rsidRDefault="004E10C9" w:rsidP="00122EF5">
            <w:pPr>
              <w:ind w:right="0"/>
              <w:jc w:val="center"/>
              <w:rPr>
                <w:sz w:val="22"/>
                <w:szCs w:val="22"/>
                <w:lang w:val="es-419" w:eastAsia="es-419"/>
              </w:rPr>
            </w:pPr>
          </w:p>
        </w:tc>
        <w:tc>
          <w:tcPr>
            <w:tcW w:w="1155" w:type="dxa"/>
            <w:tcBorders>
              <w:top w:val="nil"/>
              <w:left w:val="nil"/>
              <w:bottom w:val="nil"/>
              <w:right w:val="nil"/>
            </w:tcBorders>
            <w:shd w:val="clear" w:color="auto" w:fill="auto"/>
            <w:vAlign w:val="bottom"/>
            <w:hideMark/>
          </w:tcPr>
          <w:p w14:paraId="62F56589"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2.811 </w:t>
            </w:r>
          </w:p>
        </w:tc>
        <w:tc>
          <w:tcPr>
            <w:tcW w:w="216" w:type="dxa"/>
            <w:tcBorders>
              <w:top w:val="nil"/>
              <w:left w:val="nil"/>
              <w:bottom w:val="nil"/>
              <w:right w:val="nil"/>
            </w:tcBorders>
            <w:shd w:val="clear" w:color="auto" w:fill="auto"/>
            <w:vAlign w:val="bottom"/>
            <w:hideMark/>
          </w:tcPr>
          <w:p w14:paraId="7B4527CF" w14:textId="77777777" w:rsidR="004E10C9" w:rsidRPr="00D75232" w:rsidRDefault="004E10C9" w:rsidP="00122EF5">
            <w:pPr>
              <w:ind w:right="0"/>
              <w:jc w:val="center"/>
              <w:rPr>
                <w:color w:val="000000"/>
                <w:sz w:val="22"/>
                <w:szCs w:val="22"/>
                <w:lang w:val="es-419" w:eastAsia="es-419"/>
              </w:rPr>
            </w:pPr>
          </w:p>
        </w:tc>
        <w:tc>
          <w:tcPr>
            <w:tcW w:w="1275" w:type="dxa"/>
            <w:tcBorders>
              <w:top w:val="nil"/>
              <w:left w:val="nil"/>
              <w:bottom w:val="nil"/>
              <w:right w:val="nil"/>
            </w:tcBorders>
            <w:shd w:val="clear" w:color="auto" w:fill="auto"/>
            <w:vAlign w:val="bottom"/>
            <w:hideMark/>
          </w:tcPr>
          <w:p w14:paraId="271537BF"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331 </w:t>
            </w:r>
          </w:p>
        </w:tc>
        <w:tc>
          <w:tcPr>
            <w:tcW w:w="216" w:type="dxa"/>
            <w:tcBorders>
              <w:top w:val="nil"/>
              <w:left w:val="nil"/>
              <w:bottom w:val="nil"/>
              <w:right w:val="nil"/>
            </w:tcBorders>
            <w:shd w:val="clear" w:color="auto" w:fill="auto"/>
            <w:vAlign w:val="bottom"/>
            <w:hideMark/>
          </w:tcPr>
          <w:p w14:paraId="7408647D"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auto" w:fill="auto"/>
            <w:noWrap/>
            <w:vAlign w:val="bottom"/>
            <w:hideMark/>
          </w:tcPr>
          <w:p w14:paraId="010401E8" w14:textId="77777777" w:rsidR="004E10C9" w:rsidRPr="00D75232" w:rsidRDefault="004E10C9" w:rsidP="00122EF5">
            <w:pPr>
              <w:ind w:right="0"/>
              <w:jc w:val="center"/>
              <w:rPr>
                <w:sz w:val="22"/>
                <w:szCs w:val="22"/>
                <w:lang w:val="es-419" w:eastAsia="es-419"/>
              </w:rPr>
            </w:pPr>
            <w:r w:rsidRPr="00D75232">
              <w:rPr>
                <w:sz w:val="22"/>
                <w:szCs w:val="22"/>
                <w:lang w:val="es-419" w:eastAsia="es-419"/>
              </w:rPr>
              <w:t>Sí</w:t>
            </w:r>
          </w:p>
        </w:tc>
      </w:tr>
      <w:tr w:rsidR="004E10C9" w:rsidRPr="00D75232" w14:paraId="3A56275A" w14:textId="77777777" w:rsidTr="004C75F1">
        <w:trPr>
          <w:trHeight w:val="290"/>
          <w:jc w:val="center"/>
        </w:trPr>
        <w:tc>
          <w:tcPr>
            <w:tcW w:w="3055" w:type="dxa"/>
            <w:tcBorders>
              <w:top w:val="nil"/>
              <w:left w:val="nil"/>
              <w:bottom w:val="nil"/>
              <w:right w:val="nil"/>
            </w:tcBorders>
            <w:shd w:val="clear" w:color="auto" w:fill="auto"/>
            <w:noWrap/>
            <w:vAlign w:val="bottom"/>
            <w:hideMark/>
          </w:tcPr>
          <w:p w14:paraId="04590628" w14:textId="77777777" w:rsidR="004E10C9" w:rsidRPr="00D75232" w:rsidRDefault="004E10C9" w:rsidP="00122EF5">
            <w:pPr>
              <w:ind w:right="0"/>
              <w:jc w:val="left"/>
              <w:rPr>
                <w:sz w:val="22"/>
                <w:szCs w:val="22"/>
                <w:lang w:val="es-419" w:eastAsia="es-419"/>
              </w:rPr>
            </w:pPr>
            <w:r w:rsidRPr="00D75232">
              <w:rPr>
                <w:sz w:val="22"/>
                <w:szCs w:val="22"/>
                <w:lang w:val="es-419" w:eastAsia="es-419"/>
              </w:rPr>
              <w:t>Más de 90 días</w:t>
            </w:r>
          </w:p>
        </w:tc>
        <w:tc>
          <w:tcPr>
            <w:tcW w:w="1975" w:type="dxa"/>
            <w:tcBorders>
              <w:top w:val="nil"/>
              <w:left w:val="nil"/>
              <w:bottom w:val="nil"/>
              <w:right w:val="nil"/>
            </w:tcBorders>
            <w:shd w:val="clear" w:color="auto" w:fill="auto"/>
            <w:noWrap/>
            <w:vAlign w:val="bottom"/>
            <w:hideMark/>
          </w:tcPr>
          <w:p w14:paraId="664DE80F" w14:textId="77777777" w:rsidR="004E10C9" w:rsidRPr="00D75232" w:rsidRDefault="004E10C9" w:rsidP="00122EF5">
            <w:pPr>
              <w:ind w:right="0"/>
              <w:jc w:val="center"/>
              <w:rPr>
                <w:sz w:val="22"/>
                <w:szCs w:val="22"/>
                <w:lang w:val="es-419" w:eastAsia="es-419"/>
              </w:rPr>
            </w:pPr>
            <w:r w:rsidRPr="00D75232">
              <w:rPr>
                <w:sz w:val="22"/>
                <w:szCs w:val="22"/>
                <w:lang w:val="es-419" w:eastAsia="es-419"/>
              </w:rPr>
              <w:t>75,18%</w:t>
            </w:r>
          </w:p>
        </w:tc>
        <w:tc>
          <w:tcPr>
            <w:tcW w:w="250" w:type="dxa"/>
            <w:tcBorders>
              <w:top w:val="nil"/>
              <w:left w:val="nil"/>
              <w:bottom w:val="nil"/>
              <w:right w:val="nil"/>
            </w:tcBorders>
            <w:shd w:val="clear" w:color="auto" w:fill="auto"/>
            <w:noWrap/>
            <w:vAlign w:val="bottom"/>
            <w:hideMark/>
          </w:tcPr>
          <w:p w14:paraId="55CC807F" w14:textId="77777777" w:rsidR="004E10C9" w:rsidRPr="00D75232" w:rsidRDefault="004E10C9" w:rsidP="00122EF5">
            <w:pPr>
              <w:ind w:right="0"/>
              <w:jc w:val="center"/>
              <w:rPr>
                <w:sz w:val="22"/>
                <w:szCs w:val="22"/>
                <w:lang w:val="es-419" w:eastAsia="es-419"/>
              </w:rPr>
            </w:pPr>
          </w:p>
        </w:tc>
        <w:tc>
          <w:tcPr>
            <w:tcW w:w="1155" w:type="dxa"/>
            <w:tcBorders>
              <w:top w:val="nil"/>
              <w:left w:val="nil"/>
              <w:bottom w:val="nil"/>
              <w:right w:val="nil"/>
            </w:tcBorders>
            <w:shd w:val="clear" w:color="auto" w:fill="auto"/>
            <w:vAlign w:val="bottom"/>
            <w:hideMark/>
          </w:tcPr>
          <w:p w14:paraId="216A5FA8"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67.409 </w:t>
            </w:r>
          </w:p>
        </w:tc>
        <w:tc>
          <w:tcPr>
            <w:tcW w:w="216" w:type="dxa"/>
            <w:tcBorders>
              <w:top w:val="nil"/>
              <w:left w:val="nil"/>
              <w:bottom w:val="nil"/>
              <w:right w:val="nil"/>
            </w:tcBorders>
            <w:shd w:val="clear" w:color="auto" w:fill="auto"/>
            <w:vAlign w:val="bottom"/>
            <w:hideMark/>
          </w:tcPr>
          <w:p w14:paraId="08E46981" w14:textId="77777777" w:rsidR="004E10C9" w:rsidRPr="00D75232" w:rsidRDefault="004E10C9" w:rsidP="00122EF5">
            <w:pPr>
              <w:ind w:right="0"/>
              <w:jc w:val="center"/>
              <w:rPr>
                <w:color w:val="000000"/>
                <w:sz w:val="22"/>
                <w:szCs w:val="22"/>
                <w:lang w:val="es-419" w:eastAsia="es-419"/>
              </w:rPr>
            </w:pPr>
          </w:p>
        </w:tc>
        <w:tc>
          <w:tcPr>
            <w:tcW w:w="1275" w:type="dxa"/>
            <w:tcBorders>
              <w:top w:val="nil"/>
              <w:left w:val="nil"/>
              <w:bottom w:val="nil"/>
              <w:right w:val="nil"/>
            </w:tcBorders>
            <w:shd w:val="clear" w:color="auto" w:fill="auto"/>
            <w:vAlign w:val="bottom"/>
            <w:hideMark/>
          </w:tcPr>
          <w:p w14:paraId="3DB0398E"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50.680 </w:t>
            </w:r>
          </w:p>
        </w:tc>
        <w:tc>
          <w:tcPr>
            <w:tcW w:w="216" w:type="dxa"/>
            <w:tcBorders>
              <w:top w:val="nil"/>
              <w:left w:val="nil"/>
              <w:bottom w:val="nil"/>
              <w:right w:val="nil"/>
            </w:tcBorders>
            <w:shd w:val="clear" w:color="auto" w:fill="auto"/>
            <w:vAlign w:val="bottom"/>
            <w:hideMark/>
          </w:tcPr>
          <w:p w14:paraId="2C9CBF33"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auto" w:fill="auto"/>
            <w:noWrap/>
            <w:vAlign w:val="bottom"/>
            <w:hideMark/>
          </w:tcPr>
          <w:p w14:paraId="145FCD5D" w14:textId="77777777" w:rsidR="004E10C9" w:rsidRPr="00D75232" w:rsidRDefault="004E10C9" w:rsidP="00122EF5">
            <w:pPr>
              <w:ind w:right="0"/>
              <w:jc w:val="center"/>
              <w:rPr>
                <w:sz w:val="22"/>
                <w:szCs w:val="22"/>
                <w:lang w:val="es-419" w:eastAsia="es-419"/>
              </w:rPr>
            </w:pPr>
            <w:r w:rsidRPr="00D75232">
              <w:rPr>
                <w:sz w:val="22"/>
                <w:szCs w:val="22"/>
                <w:lang w:val="es-419" w:eastAsia="es-419"/>
              </w:rPr>
              <w:t>Sí</w:t>
            </w:r>
          </w:p>
        </w:tc>
      </w:tr>
      <w:tr w:rsidR="004E10C9" w:rsidRPr="00D75232" w14:paraId="5A251FD3" w14:textId="77777777" w:rsidTr="004C75F1">
        <w:trPr>
          <w:trHeight w:val="300"/>
          <w:jc w:val="center"/>
        </w:trPr>
        <w:tc>
          <w:tcPr>
            <w:tcW w:w="3055" w:type="dxa"/>
            <w:tcBorders>
              <w:top w:val="nil"/>
              <w:left w:val="nil"/>
              <w:bottom w:val="nil"/>
              <w:right w:val="nil"/>
            </w:tcBorders>
            <w:shd w:val="clear" w:color="auto" w:fill="auto"/>
            <w:noWrap/>
            <w:vAlign w:val="center"/>
            <w:hideMark/>
          </w:tcPr>
          <w:p w14:paraId="163074E0" w14:textId="77777777" w:rsidR="004E10C9" w:rsidRPr="00D75232" w:rsidRDefault="004E10C9" w:rsidP="00122EF5">
            <w:pPr>
              <w:ind w:right="0"/>
              <w:jc w:val="center"/>
              <w:rPr>
                <w:sz w:val="22"/>
                <w:szCs w:val="22"/>
                <w:lang w:val="es-419" w:eastAsia="es-419"/>
              </w:rPr>
            </w:pPr>
          </w:p>
        </w:tc>
        <w:tc>
          <w:tcPr>
            <w:tcW w:w="1975" w:type="dxa"/>
            <w:tcBorders>
              <w:top w:val="nil"/>
              <w:left w:val="nil"/>
              <w:bottom w:val="nil"/>
              <w:right w:val="nil"/>
            </w:tcBorders>
            <w:shd w:val="clear" w:color="auto" w:fill="auto"/>
            <w:noWrap/>
            <w:vAlign w:val="center"/>
            <w:hideMark/>
          </w:tcPr>
          <w:p w14:paraId="5C006C4C" w14:textId="77777777" w:rsidR="004E10C9" w:rsidRPr="00D75232" w:rsidRDefault="004E10C9" w:rsidP="00122EF5">
            <w:pPr>
              <w:ind w:right="0"/>
              <w:jc w:val="left"/>
              <w:rPr>
                <w:sz w:val="20"/>
                <w:szCs w:val="20"/>
                <w:lang w:val="es-419" w:eastAsia="es-419"/>
              </w:rPr>
            </w:pPr>
          </w:p>
        </w:tc>
        <w:tc>
          <w:tcPr>
            <w:tcW w:w="250" w:type="dxa"/>
            <w:tcBorders>
              <w:top w:val="nil"/>
              <w:left w:val="nil"/>
              <w:bottom w:val="nil"/>
              <w:right w:val="nil"/>
            </w:tcBorders>
            <w:shd w:val="clear" w:color="auto" w:fill="auto"/>
            <w:noWrap/>
            <w:vAlign w:val="center"/>
            <w:hideMark/>
          </w:tcPr>
          <w:p w14:paraId="17477EEC" w14:textId="77777777" w:rsidR="004E10C9" w:rsidRPr="00D75232" w:rsidRDefault="004E10C9" w:rsidP="00122EF5">
            <w:pPr>
              <w:ind w:right="0"/>
              <w:jc w:val="center"/>
              <w:rPr>
                <w:sz w:val="22"/>
                <w:szCs w:val="22"/>
                <w:lang w:val="es-419" w:eastAsia="es-419"/>
              </w:rPr>
            </w:pPr>
            <w:r w:rsidRPr="00D75232">
              <w:rPr>
                <w:sz w:val="22"/>
                <w:szCs w:val="22"/>
                <w:lang w:val="es-419" w:eastAsia="es-419"/>
              </w:rPr>
              <w:t>¢</w:t>
            </w:r>
          </w:p>
        </w:tc>
        <w:tc>
          <w:tcPr>
            <w:tcW w:w="1155" w:type="dxa"/>
            <w:tcBorders>
              <w:top w:val="single" w:sz="4" w:space="0" w:color="auto"/>
              <w:left w:val="nil"/>
              <w:bottom w:val="double" w:sz="6" w:space="0" w:color="auto"/>
              <w:right w:val="nil"/>
            </w:tcBorders>
            <w:shd w:val="clear" w:color="auto" w:fill="auto"/>
            <w:vAlign w:val="center"/>
            <w:hideMark/>
          </w:tcPr>
          <w:p w14:paraId="2CDCD903"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235.633 </w:t>
            </w:r>
          </w:p>
        </w:tc>
        <w:tc>
          <w:tcPr>
            <w:tcW w:w="216" w:type="dxa"/>
            <w:tcBorders>
              <w:top w:val="nil"/>
              <w:left w:val="nil"/>
              <w:bottom w:val="nil"/>
              <w:right w:val="nil"/>
            </w:tcBorders>
            <w:shd w:val="clear" w:color="auto" w:fill="auto"/>
            <w:vAlign w:val="center"/>
            <w:hideMark/>
          </w:tcPr>
          <w:p w14:paraId="2F7E0130" w14:textId="77777777" w:rsidR="004E10C9" w:rsidRPr="00D75232" w:rsidRDefault="004E10C9" w:rsidP="00122EF5">
            <w:pPr>
              <w:ind w:right="0"/>
              <w:jc w:val="center"/>
              <w:rPr>
                <w:color w:val="000000"/>
                <w:sz w:val="22"/>
                <w:szCs w:val="22"/>
                <w:lang w:val="es-419" w:eastAsia="es-419"/>
              </w:rPr>
            </w:pPr>
          </w:p>
        </w:tc>
        <w:tc>
          <w:tcPr>
            <w:tcW w:w="1275" w:type="dxa"/>
            <w:tcBorders>
              <w:top w:val="single" w:sz="4" w:space="0" w:color="auto"/>
              <w:left w:val="nil"/>
              <w:bottom w:val="double" w:sz="6" w:space="0" w:color="auto"/>
              <w:right w:val="nil"/>
            </w:tcBorders>
            <w:shd w:val="clear" w:color="auto" w:fill="auto"/>
            <w:vAlign w:val="center"/>
            <w:hideMark/>
          </w:tcPr>
          <w:p w14:paraId="100051A7" w14:textId="77777777" w:rsidR="004E10C9" w:rsidRPr="00D75232" w:rsidRDefault="004E10C9" w:rsidP="00122EF5">
            <w:pPr>
              <w:ind w:right="0"/>
              <w:jc w:val="center"/>
              <w:rPr>
                <w:color w:val="000000"/>
                <w:sz w:val="22"/>
                <w:szCs w:val="22"/>
                <w:lang w:val="es-419" w:eastAsia="es-419"/>
              </w:rPr>
            </w:pPr>
            <w:r w:rsidRPr="00D75232">
              <w:rPr>
                <w:color w:val="000000"/>
                <w:sz w:val="22"/>
                <w:szCs w:val="22"/>
                <w:lang w:val="es-419" w:eastAsia="es-419"/>
              </w:rPr>
              <w:t xml:space="preserve">        60.605 </w:t>
            </w:r>
          </w:p>
        </w:tc>
        <w:tc>
          <w:tcPr>
            <w:tcW w:w="216" w:type="dxa"/>
            <w:tcBorders>
              <w:top w:val="nil"/>
              <w:left w:val="nil"/>
              <w:bottom w:val="nil"/>
              <w:right w:val="nil"/>
            </w:tcBorders>
            <w:shd w:val="clear" w:color="auto" w:fill="auto"/>
            <w:vAlign w:val="center"/>
            <w:hideMark/>
          </w:tcPr>
          <w:p w14:paraId="77492485" w14:textId="77777777" w:rsidR="004E10C9" w:rsidRPr="00D75232" w:rsidRDefault="004E10C9" w:rsidP="00122EF5">
            <w:pPr>
              <w:ind w:right="0"/>
              <w:jc w:val="center"/>
              <w:rPr>
                <w:color w:val="000000"/>
                <w:sz w:val="22"/>
                <w:szCs w:val="22"/>
                <w:lang w:val="es-419" w:eastAsia="es-419"/>
              </w:rPr>
            </w:pPr>
          </w:p>
        </w:tc>
        <w:tc>
          <w:tcPr>
            <w:tcW w:w="1355" w:type="dxa"/>
            <w:tcBorders>
              <w:top w:val="nil"/>
              <w:left w:val="nil"/>
              <w:bottom w:val="nil"/>
              <w:right w:val="nil"/>
            </w:tcBorders>
            <w:shd w:val="clear" w:color="000000" w:fill="FFFFFF"/>
            <w:noWrap/>
            <w:vAlign w:val="center"/>
            <w:hideMark/>
          </w:tcPr>
          <w:p w14:paraId="4C0AECA4" w14:textId="77777777" w:rsidR="004E10C9" w:rsidRPr="00D75232" w:rsidRDefault="004E10C9" w:rsidP="00122EF5">
            <w:pPr>
              <w:ind w:right="0"/>
              <w:jc w:val="center"/>
              <w:rPr>
                <w:sz w:val="22"/>
                <w:szCs w:val="22"/>
                <w:lang w:val="es-419" w:eastAsia="es-419"/>
              </w:rPr>
            </w:pPr>
            <w:r w:rsidRPr="00D75232">
              <w:rPr>
                <w:sz w:val="22"/>
                <w:szCs w:val="22"/>
                <w:lang w:val="es-419" w:eastAsia="es-419"/>
              </w:rPr>
              <w:t> </w:t>
            </w:r>
          </w:p>
        </w:tc>
      </w:tr>
      <w:tr w:rsidR="004E10C9" w:rsidRPr="00D75232" w14:paraId="7FCDD911" w14:textId="77777777" w:rsidTr="004C75F1">
        <w:trPr>
          <w:trHeight w:val="300"/>
          <w:jc w:val="center"/>
        </w:trPr>
        <w:tc>
          <w:tcPr>
            <w:tcW w:w="3055" w:type="dxa"/>
            <w:tcBorders>
              <w:top w:val="nil"/>
              <w:left w:val="nil"/>
              <w:bottom w:val="nil"/>
              <w:right w:val="nil"/>
            </w:tcBorders>
            <w:shd w:val="clear" w:color="auto" w:fill="auto"/>
            <w:noWrap/>
            <w:vAlign w:val="bottom"/>
            <w:hideMark/>
          </w:tcPr>
          <w:p w14:paraId="5D42D018" w14:textId="77777777" w:rsidR="004E10C9" w:rsidRPr="00D75232" w:rsidRDefault="004E10C9" w:rsidP="00122EF5">
            <w:pPr>
              <w:ind w:right="0"/>
              <w:jc w:val="center"/>
              <w:rPr>
                <w:sz w:val="22"/>
                <w:szCs w:val="22"/>
                <w:lang w:val="es-419" w:eastAsia="es-419"/>
              </w:rPr>
            </w:pPr>
          </w:p>
        </w:tc>
        <w:tc>
          <w:tcPr>
            <w:tcW w:w="1975" w:type="dxa"/>
            <w:tcBorders>
              <w:top w:val="nil"/>
              <w:left w:val="nil"/>
              <w:bottom w:val="nil"/>
              <w:right w:val="nil"/>
            </w:tcBorders>
            <w:shd w:val="clear" w:color="auto" w:fill="auto"/>
            <w:noWrap/>
            <w:vAlign w:val="bottom"/>
            <w:hideMark/>
          </w:tcPr>
          <w:p w14:paraId="67361EE1" w14:textId="77777777" w:rsidR="004E10C9" w:rsidRPr="00D75232" w:rsidRDefault="004E10C9" w:rsidP="00122EF5">
            <w:pPr>
              <w:ind w:right="0"/>
              <w:jc w:val="left"/>
              <w:rPr>
                <w:sz w:val="20"/>
                <w:szCs w:val="20"/>
                <w:lang w:val="es-419" w:eastAsia="es-419"/>
              </w:rPr>
            </w:pPr>
          </w:p>
        </w:tc>
        <w:tc>
          <w:tcPr>
            <w:tcW w:w="250" w:type="dxa"/>
            <w:tcBorders>
              <w:top w:val="nil"/>
              <w:left w:val="nil"/>
              <w:bottom w:val="nil"/>
              <w:right w:val="nil"/>
            </w:tcBorders>
            <w:shd w:val="clear" w:color="auto" w:fill="auto"/>
            <w:noWrap/>
            <w:vAlign w:val="bottom"/>
            <w:hideMark/>
          </w:tcPr>
          <w:p w14:paraId="224B88BD" w14:textId="77777777" w:rsidR="004E10C9" w:rsidRPr="00D75232" w:rsidRDefault="004E10C9" w:rsidP="00122EF5">
            <w:pPr>
              <w:ind w:right="0"/>
              <w:jc w:val="left"/>
              <w:rPr>
                <w:sz w:val="20"/>
                <w:szCs w:val="20"/>
                <w:lang w:val="es-419" w:eastAsia="es-419"/>
              </w:rPr>
            </w:pPr>
          </w:p>
        </w:tc>
        <w:tc>
          <w:tcPr>
            <w:tcW w:w="1155" w:type="dxa"/>
            <w:tcBorders>
              <w:top w:val="nil"/>
              <w:left w:val="nil"/>
              <w:bottom w:val="nil"/>
              <w:right w:val="nil"/>
            </w:tcBorders>
            <w:shd w:val="clear" w:color="auto" w:fill="auto"/>
            <w:noWrap/>
            <w:vAlign w:val="bottom"/>
            <w:hideMark/>
          </w:tcPr>
          <w:p w14:paraId="46C97CD2" w14:textId="77777777" w:rsidR="004E10C9" w:rsidRPr="00D75232" w:rsidRDefault="004E10C9" w:rsidP="00122EF5">
            <w:pPr>
              <w:ind w:right="0"/>
              <w:jc w:val="left"/>
              <w:rPr>
                <w:sz w:val="20"/>
                <w:szCs w:val="20"/>
                <w:lang w:val="es-419" w:eastAsia="es-419"/>
              </w:rPr>
            </w:pPr>
          </w:p>
        </w:tc>
        <w:tc>
          <w:tcPr>
            <w:tcW w:w="216" w:type="dxa"/>
            <w:tcBorders>
              <w:top w:val="nil"/>
              <w:left w:val="nil"/>
              <w:bottom w:val="nil"/>
              <w:right w:val="nil"/>
            </w:tcBorders>
            <w:shd w:val="clear" w:color="auto" w:fill="auto"/>
            <w:noWrap/>
            <w:vAlign w:val="bottom"/>
            <w:hideMark/>
          </w:tcPr>
          <w:p w14:paraId="3AC66D0A" w14:textId="77777777" w:rsidR="004E10C9" w:rsidRPr="00D75232" w:rsidRDefault="004E10C9" w:rsidP="00122EF5">
            <w:pPr>
              <w:ind w:right="0"/>
              <w:jc w:val="left"/>
              <w:rPr>
                <w:sz w:val="20"/>
                <w:szCs w:val="20"/>
                <w:lang w:val="es-419" w:eastAsia="es-419"/>
              </w:rPr>
            </w:pPr>
          </w:p>
        </w:tc>
        <w:tc>
          <w:tcPr>
            <w:tcW w:w="1275" w:type="dxa"/>
            <w:tcBorders>
              <w:top w:val="nil"/>
              <w:left w:val="nil"/>
              <w:bottom w:val="nil"/>
              <w:right w:val="nil"/>
            </w:tcBorders>
            <w:shd w:val="clear" w:color="auto" w:fill="auto"/>
            <w:noWrap/>
            <w:vAlign w:val="bottom"/>
            <w:hideMark/>
          </w:tcPr>
          <w:p w14:paraId="6951EFEC" w14:textId="77777777" w:rsidR="004E10C9" w:rsidRPr="00D75232" w:rsidRDefault="004E10C9" w:rsidP="00122EF5">
            <w:pPr>
              <w:ind w:right="0"/>
              <w:jc w:val="left"/>
              <w:rPr>
                <w:sz w:val="20"/>
                <w:szCs w:val="20"/>
                <w:lang w:val="es-419" w:eastAsia="es-419"/>
              </w:rPr>
            </w:pPr>
          </w:p>
        </w:tc>
        <w:tc>
          <w:tcPr>
            <w:tcW w:w="216" w:type="dxa"/>
            <w:tcBorders>
              <w:top w:val="nil"/>
              <w:left w:val="nil"/>
              <w:bottom w:val="nil"/>
              <w:right w:val="nil"/>
            </w:tcBorders>
            <w:shd w:val="clear" w:color="auto" w:fill="auto"/>
            <w:noWrap/>
            <w:vAlign w:val="bottom"/>
            <w:hideMark/>
          </w:tcPr>
          <w:p w14:paraId="076E2208" w14:textId="77777777" w:rsidR="004E10C9" w:rsidRPr="00D75232" w:rsidRDefault="004E10C9" w:rsidP="00122EF5">
            <w:pPr>
              <w:ind w:right="0"/>
              <w:jc w:val="left"/>
              <w:rPr>
                <w:sz w:val="20"/>
                <w:szCs w:val="20"/>
                <w:lang w:val="es-419" w:eastAsia="es-419"/>
              </w:rPr>
            </w:pPr>
          </w:p>
        </w:tc>
        <w:tc>
          <w:tcPr>
            <w:tcW w:w="1355" w:type="dxa"/>
            <w:tcBorders>
              <w:top w:val="nil"/>
              <w:left w:val="nil"/>
              <w:bottom w:val="nil"/>
              <w:right w:val="nil"/>
            </w:tcBorders>
            <w:shd w:val="clear" w:color="auto" w:fill="auto"/>
            <w:noWrap/>
            <w:vAlign w:val="bottom"/>
            <w:hideMark/>
          </w:tcPr>
          <w:p w14:paraId="271C3299" w14:textId="77777777" w:rsidR="004E10C9" w:rsidRPr="00D75232" w:rsidRDefault="004E10C9" w:rsidP="00122EF5">
            <w:pPr>
              <w:ind w:right="0"/>
              <w:jc w:val="left"/>
              <w:rPr>
                <w:sz w:val="20"/>
                <w:szCs w:val="20"/>
                <w:lang w:val="es-419" w:eastAsia="es-419"/>
              </w:rPr>
            </w:pPr>
          </w:p>
        </w:tc>
      </w:tr>
    </w:tbl>
    <w:p w14:paraId="0CBCE5D7" w14:textId="123F8249" w:rsidR="00A65F5F" w:rsidRDefault="00A65F5F" w:rsidP="00EF0D70">
      <w:pPr>
        <w:pStyle w:val="Ttulo2"/>
        <w:numPr>
          <w:ilvl w:val="1"/>
          <w:numId w:val="58"/>
        </w:numPr>
      </w:pPr>
      <w:bookmarkStart w:id="1163" w:name="_Toc261418375"/>
      <w:bookmarkStart w:id="1164" w:name="_Toc261458559"/>
      <w:bookmarkStart w:id="1165" w:name="_Toc261458947"/>
      <w:bookmarkStart w:id="1166" w:name="_Toc262203269"/>
      <w:bookmarkStart w:id="1167" w:name="_Toc262218606"/>
      <w:bookmarkStart w:id="1168" w:name="_Toc262319062"/>
      <w:bookmarkStart w:id="1169" w:name="_Toc262458956"/>
      <w:bookmarkStart w:id="1170" w:name="_Toc262459810"/>
      <w:bookmarkStart w:id="1171" w:name="_Toc262460225"/>
      <w:bookmarkStart w:id="1172" w:name="_Toc262460352"/>
      <w:bookmarkStart w:id="1173" w:name="_Toc262460479"/>
      <w:bookmarkStart w:id="1174" w:name="_Toc304737188"/>
      <w:bookmarkStart w:id="1175" w:name="_Toc343676023"/>
      <w:bookmarkStart w:id="1176" w:name="_Toc358619386"/>
      <w:bookmarkStart w:id="1177" w:name="_Toc358620651"/>
      <w:bookmarkStart w:id="1178" w:name="_Toc358621858"/>
      <w:bookmarkStart w:id="1179" w:name="_Toc358622835"/>
      <w:bookmarkStart w:id="1180" w:name="_Toc26357129"/>
      <w:bookmarkStart w:id="1181" w:name="_Toc138664918"/>
      <w:bookmarkEnd w:id="1163"/>
      <w:bookmarkEnd w:id="1164"/>
      <w:bookmarkEnd w:id="1165"/>
      <w:bookmarkEnd w:id="1166"/>
      <w:bookmarkEnd w:id="1167"/>
      <w:bookmarkEnd w:id="1168"/>
      <w:bookmarkEnd w:id="1169"/>
      <w:bookmarkEnd w:id="1170"/>
      <w:bookmarkEnd w:id="1171"/>
      <w:bookmarkEnd w:id="1172"/>
      <w:bookmarkEnd w:id="1173"/>
      <w:r w:rsidRPr="005C7E6A">
        <w:t>Endeudamiento</w:t>
      </w:r>
      <w:bookmarkStart w:id="1182" w:name="_Toc191377605"/>
      <w:bookmarkStart w:id="1183" w:name="_Toc192577352"/>
      <w:bookmarkStart w:id="1184" w:name="_Toc192591226"/>
      <w:bookmarkStart w:id="1185" w:name="_Toc192925734"/>
      <w:bookmarkStart w:id="1186" w:name="_Toc192925821"/>
      <w:bookmarkStart w:id="1187" w:name="_Toc192933476"/>
      <w:bookmarkStart w:id="1188" w:name="_Toc192933707"/>
      <w:bookmarkStart w:id="1189" w:name="_Toc193006288"/>
      <w:bookmarkStart w:id="1190" w:name="_Toc193006379"/>
      <w:bookmarkStart w:id="1191" w:name="_Toc193006469"/>
      <w:bookmarkStart w:id="1192" w:name="_Toc193006559"/>
      <w:bookmarkStart w:id="1193" w:name="_Toc193006649"/>
      <w:bookmarkStart w:id="1194" w:name="_Toc193006739"/>
      <w:bookmarkStart w:id="1195" w:name="_Toc193114031"/>
      <w:bookmarkStart w:id="1196" w:name="_Toc193185675"/>
      <w:bookmarkStart w:id="1197" w:name="_Toc193188562"/>
      <w:bookmarkStart w:id="1198" w:name="_Toc193200014"/>
      <w:bookmarkStart w:id="1199" w:name="_Toc197158876"/>
      <w:bookmarkStart w:id="1200" w:name="_Toc197160139"/>
      <w:bookmarkStart w:id="1201" w:name="_Toc197235604"/>
      <w:bookmarkStart w:id="1202" w:name="_Toc197235942"/>
      <w:bookmarkStart w:id="1203" w:name="_Toc199652823"/>
      <w:bookmarkStart w:id="1204" w:name="_Toc200335820"/>
      <w:bookmarkStart w:id="1205" w:name="_Toc206844778"/>
      <w:bookmarkStart w:id="1206" w:name="_Toc206905641"/>
      <w:bookmarkStart w:id="1207" w:name="_Toc207095743"/>
      <w:bookmarkStart w:id="1208" w:name="_Toc207098129"/>
      <w:bookmarkStart w:id="1209" w:name="_Toc207098322"/>
      <w:bookmarkStart w:id="1210" w:name="_Toc207098517"/>
      <w:bookmarkStart w:id="1211" w:name="_Toc207098617"/>
      <w:bookmarkStart w:id="1212" w:name="_Toc207098716"/>
      <w:bookmarkStart w:id="1213" w:name="_Toc207103377"/>
      <w:bookmarkStart w:id="1214" w:name="_Toc207178762"/>
      <w:bookmarkStart w:id="1215" w:name="_Toc208394643"/>
      <w:bookmarkStart w:id="1216" w:name="_Toc210618854"/>
      <w:bookmarkStart w:id="1217" w:name="_Toc210619136"/>
      <w:bookmarkStart w:id="1218" w:name="_Toc210619361"/>
      <w:bookmarkStart w:id="1219" w:name="_Toc210619868"/>
      <w:bookmarkStart w:id="1220" w:name="_Toc222025429"/>
      <w:bookmarkStart w:id="1221" w:name="_Toc222030365"/>
      <w:bookmarkStart w:id="1222" w:name="_Toc222134996"/>
      <w:bookmarkStart w:id="1223" w:name="_Toc222675417"/>
      <w:bookmarkStart w:id="1224" w:name="_Toc222828385"/>
      <w:bookmarkStart w:id="1225" w:name="_Toc222828482"/>
      <w:bookmarkStart w:id="1226" w:name="_Toc222887695"/>
      <w:bookmarkStart w:id="1227" w:name="_Toc222912163"/>
      <w:bookmarkStart w:id="1228" w:name="_Toc222915222"/>
      <w:bookmarkStart w:id="1229" w:name="_Toc222915316"/>
      <w:bookmarkStart w:id="1230" w:name="_Toc222919698"/>
      <w:bookmarkStart w:id="1231" w:name="_Toc222919792"/>
      <w:bookmarkStart w:id="1232" w:name="_Toc222919887"/>
      <w:bookmarkStart w:id="1233" w:name="_Toc222920190"/>
      <w:bookmarkStart w:id="1234" w:name="_Toc223164544"/>
      <w:bookmarkStart w:id="1235" w:name="_Toc223175977"/>
      <w:bookmarkStart w:id="1236" w:name="_Toc223337103"/>
      <w:bookmarkStart w:id="1237" w:name="_Toc223337196"/>
      <w:bookmarkStart w:id="1238" w:name="_Toc223342189"/>
      <w:bookmarkStart w:id="1239" w:name="_Toc223357555"/>
      <w:bookmarkStart w:id="1240" w:name="_Toc223357646"/>
      <w:bookmarkStart w:id="1241" w:name="_Toc223491420"/>
      <w:bookmarkStart w:id="1242" w:name="_Toc225051350"/>
      <w:bookmarkStart w:id="1243" w:name="_Toc225073440"/>
      <w:bookmarkStart w:id="1244" w:name="_Toc225078388"/>
      <w:bookmarkStart w:id="1245" w:name="_Toc225078479"/>
      <w:bookmarkStart w:id="1246" w:name="_Toc225079320"/>
      <w:bookmarkStart w:id="1247" w:name="_Toc225148946"/>
      <w:bookmarkStart w:id="1248" w:name="_Toc225149037"/>
      <w:bookmarkStart w:id="1249" w:name="_Toc225149128"/>
      <w:bookmarkStart w:id="1250" w:name="_Toc225154696"/>
      <w:bookmarkStart w:id="1251" w:name="_Toc225156210"/>
      <w:bookmarkStart w:id="1252" w:name="_Toc225160879"/>
      <w:bookmarkStart w:id="1253" w:name="_Toc225223119"/>
      <w:bookmarkStart w:id="1254" w:name="_Toc225241360"/>
      <w:bookmarkStart w:id="1255" w:name="_Toc225242745"/>
      <w:bookmarkStart w:id="1256" w:name="_Toc225242837"/>
      <w:bookmarkStart w:id="1257" w:name="_Toc225307343"/>
      <w:bookmarkStart w:id="1258" w:name="_Toc225307435"/>
      <w:bookmarkStart w:id="1259" w:name="_Toc225912339"/>
      <w:bookmarkStart w:id="1260" w:name="_Toc225912447"/>
      <w:bookmarkStart w:id="1261" w:name="_Toc225912539"/>
      <w:bookmarkStart w:id="1262" w:name="_Toc225912663"/>
      <w:bookmarkStart w:id="1263" w:name="_Toc225912755"/>
      <w:bookmarkStart w:id="1264" w:name="_Toc225912847"/>
      <w:bookmarkStart w:id="1265" w:name="_Toc225912939"/>
      <w:bookmarkStart w:id="1266" w:name="_Toc225913031"/>
      <w:bookmarkStart w:id="1267" w:name="_Toc225913193"/>
      <w:bookmarkStart w:id="1268" w:name="_Toc225913294"/>
      <w:bookmarkStart w:id="1269" w:name="_Toc225913514"/>
      <w:bookmarkStart w:id="1270" w:name="_Toc225913720"/>
      <w:bookmarkStart w:id="1271" w:name="_Toc225913816"/>
      <w:bookmarkStart w:id="1272" w:name="_Toc225913912"/>
      <w:bookmarkStart w:id="1273" w:name="_Toc225914008"/>
      <w:bookmarkStart w:id="1274" w:name="_Toc225914104"/>
      <w:bookmarkStart w:id="1275" w:name="_Toc225914231"/>
      <w:bookmarkStart w:id="1276" w:name="_Toc225914327"/>
      <w:bookmarkStart w:id="1277" w:name="_Toc225914601"/>
      <w:bookmarkStart w:id="1278" w:name="_Toc225914697"/>
      <w:bookmarkStart w:id="1279" w:name="_Toc225914793"/>
      <w:bookmarkStart w:id="1280" w:name="_Toc225914890"/>
      <w:bookmarkStart w:id="1281" w:name="_Toc225914987"/>
      <w:bookmarkStart w:id="1282" w:name="_Toc225915085"/>
      <w:bookmarkStart w:id="1283" w:name="_Toc225921453"/>
      <w:bookmarkStart w:id="1284" w:name="_Toc226779637"/>
      <w:bookmarkStart w:id="1285" w:name="_Toc226807209"/>
      <w:bookmarkStart w:id="1286" w:name="_Toc226807325"/>
      <w:bookmarkStart w:id="1287" w:name="_Toc226807439"/>
      <w:bookmarkStart w:id="1288" w:name="_Toc226807550"/>
      <w:bookmarkStart w:id="1289" w:name="_Toc226808438"/>
      <w:bookmarkStart w:id="1290" w:name="_Toc226808549"/>
      <w:bookmarkStart w:id="1291" w:name="_Toc226809063"/>
      <w:bookmarkStart w:id="1292" w:name="_Toc226809173"/>
      <w:bookmarkStart w:id="1293" w:name="_Toc226809284"/>
      <w:bookmarkStart w:id="1294" w:name="_Toc226809394"/>
      <w:bookmarkStart w:id="1295" w:name="_Toc226809504"/>
      <w:bookmarkStart w:id="1296" w:name="_Toc226809821"/>
      <w:bookmarkStart w:id="1297" w:name="_Toc226810068"/>
      <w:bookmarkStart w:id="1298" w:name="_Toc228013115"/>
      <w:bookmarkStart w:id="1299" w:name="_Toc228084809"/>
      <w:bookmarkStart w:id="1300" w:name="_Toc228087366"/>
      <w:bookmarkStart w:id="1301" w:name="_Toc228098605"/>
      <w:bookmarkStart w:id="1302" w:name="_Toc228696389"/>
      <w:bookmarkStart w:id="1303" w:name="_Toc229149150"/>
      <w:bookmarkStart w:id="1304" w:name="_Toc229149288"/>
      <w:bookmarkStart w:id="1305" w:name="_Toc229150108"/>
      <w:bookmarkStart w:id="1306" w:name="_Toc229150744"/>
      <w:bookmarkStart w:id="1307" w:name="_Toc231981190"/>
      <w:bookmarkStart w:id="1308" w:name="_Toc234672876"/>
      <w:bookmarkStart w:id="1309" w:name="_Toc234672986"/>
      <w:bookmarkStart w:id="1310" w:name="_Toc234673095"/>
      <w:bookmarkStart w:id="1311" w:name="_Toc234673204"/>
      <w:bookmarkStart w:id="1312" w:name="_Toc234673313"/>
      <w:bookmarkStart w:id="1313" w:name="_Toc234673532"/>
      <w:bookmarkStart w:id="1314" w:name="_Toc234673641"/>
      <w:bookmarkStart w:id="1315" w:name="_Toc234744055"/>
      <w:bookmarkStart w:id="1316" w:name="_Toc234744269"/>
      <w:bookmarkStart w:id="1317" w:name="_Toc234750699"/>
      <w:bookmarkStart w:id="1318" w:name="_Toc234750811"/>
      <w:bookmarkStart w:id="1319" w:name="_Toc234923903"/>
      <w:bookmarkStart w:id="1320" w:name="_Toc234925819"/>
      <w:bookmarkStart w:id="1321" w:name="_Toc235615250"/>
      <w:bookmarkStart w:id="1322" w:name="_Toc235616738"/>
      <w:bookmarkStart w:id="1323" w:name="_Toc235856996"/>
      <w:bookmarkStart w:id="1324" w:name="_Toc237334694"/>
      <w:bookmarkStart w:id="1325" w:name="_Toc237919647"/>
      <w:bookmarkStart w:id="1326" w:name="_Toc238276571"/>
      <w:bookmarkStart w:id="1327" w:name="_Toc238869514"/>
      <w:bookmarkStart w:id="1328" w:name="_Toc238873067"/>
      <w:bookmarkStart w:id="1329" w:name="_Toc238873440"/>
      <w:bookmarkStart w:id="1330" w:name="_Toc238876977"/>
      <w:bookmarkStart w:id="1331" w:name="_Toc240107345"/>
      <w:bookmarkStart w:id="1332" w:name="_Toc240159576"/>
      <w:bookmarkStart w:id="1333" w:name="_Toc240159728"/>
      <w:bookmarkStart w:id="1334" w:name="_Toc240255766"/>
      <w:bookmarkStart w:id="1335" w:name="_Toc240267670"/>
      <w:bookmarkStart w:id="1336" w:name="_Toc240267781"/>
      <w:bookmarkStart w:id="1337" w:name="_Toc240268174"/>
      <w:bookmarkStart w:id="1338" w:name="_Toc240268429"/>
      <w:bookmarkStart w:id="1339" w:name="_Toc240268542"/>
      <w:bookmarkStart w:id="1340" w:name="_Toc240268653"/>
      <w:bookmarkStart w:id="1341" w:name="_Toc240454244"/>
      <w:bookmarkStart w:id="1342" w:name="_Toc240697929"/>
      <w:bookmarkStart w:id="1343" w:name="_Toc258937731"/>
      <w:bookmarkStart w:id="1344" w:name="_Toc261418377"/>
      <w:bookmarkStart w:id="1345" w:name="_Toc261458561"/>
      <w:bookmarkStart w:id="1346" w:name="_Toc261458949"/>
      <w:bookmarkStart w:id="1347" w:name="_Toc262203271"/>
      <w:bookmarkStart w:id="1348" w:name="_Toc262218608"/>
      <w:bookmarkStart w:id="1349" w:name="_Toc262319064"/>
      <w:bookmarkStart w:id="1350" w:name="_Toc262458958"/>
      <w:bookmarkStart w:id="1351" w:name="_Toc262459812"/>
      <w:bookmarkStart w:id="1352" w:name="_Toc262460227"/>
      <w:bookmarkStart w:id="1353" w:name="_Toc262460354"/>
      <w:bookmarkStart w:id="1354" w:name="_Toc262460481"/>
      <w:bookmarkStart w:id="1355" w:name="_Toc262480981"/>
      <w:bookmarkStart w:id="1356" w:name="_Toc262483170"/>
      <w:bookmarkStart w:id="1357" w:name="_Toc262483305"/>
      <w:bookmarkStart w:id="1358" w:name="_Toc262483441"/>
      <w:bookmarkStart w:id="1359" w:name="_Toc262483577"/>
      <w:bookmarkStart w:id="1360" w:name="_Toc262483712"/>
      <w:bookmarkStart w:id="1361" w:name="_Toc262483847"/>
      <w:bookmarkStart w:id="1362" w:name="_Toc304736401"/>
      <w:bookmarkStart w:id="1363" w:name="_Toc304736635"/>
      <w:bookmarkStart w:id="1364" w:name="_Toc304736883"/>
      <w:bookmarkStart w:id="1365" w:name="_Toc304737189"/>
      <w:bookmarkStart w:id="1366" w:name="_Toc326700881"/>
      <w:bookmarkStart w:id="1367" w:name="_Toc326701519"/>
      <w:bookmarkStart w:id="1368" w:name="_Toc326730866"/>
      <w:bookmarkStart w:id="1369" w:name="_Toc326731052"/>
      <w:bookmarkStart w:id="1370" w:name="_Toc326731550"/>
      <w:bookmarkStart w:id="1371" w:name="_Toc326732462"/>
      <w:bookmarkStart w:id="1372" w:name="_Toc326734193"/>
      <w:bookmarkStart w:id="1373" w:name="_Toc326735142"/>
      <w:bookmarkStart w:id="1374" w:name="_Toc326735453"/>
      <w:bookmarkStart w:id="1375" w:name="_Toc343676024"/>
      <w:bookmarkStart w:id="1376" w:name="_Toc358619387"/>
      <w:bookmarkStart w:id="1377" w:name="_Toc358620652"/>
      <w:bookmarkStart w:id="1378" w:name="_Toc358621859"/>
      <w:bookmarkStart w:id="1379" w:name="_Toc358622836"/>
      <w:bookmarkStart w:id="1380" w:name="_Toc358622964"/>
      <w:bookmarkStart w:id="1381" w:name="_Toc390247894"/>
      <w:bookmarkStart w:id="1382" w:name="_Toc421258405"/>
      <w:bookmarkStart w:id="1383" w:name="_Toc421264473"/>
      <w:bookmarkStart w:id="1384" w:name="_Toc421264717"/>
      <w:bookmarkStart w:id="1385" w:name="_Toc421265032"/>
      <w:bookmarkEnd w:id="1174"/>
      <w:bookmarkEnd w:id="1175"/>
      <w:bookmarkEnd w:id="1176"/>
      <w:bookmarkEnd w:id="1177"/>
      <w:bookmarkEnd w:id="1178"/>
      <w:bookmarkEnd w:id="1179"/>
      <w:bookmarkEnd w:id="1180"/>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0020490F">
        <w:t xml:space="preserve"> (en millones de colones)</w:t>
      </w:r>
      <w:bookmarkEnd w:id="1181"/>
    </w:p>
    <w:p w14:paraId="45CA159D" w14:textId="77777777" w:rsidR="00A65F5F" w:rsidRPr="0040374B" w:rsidRDefault="00A65F5F" w:rsidP="00A65F5F">
      <w:pPr>
        <w:rPr>
          <w:lang w:val="es-ES"/>
        </w:rPr>
      </w:pPr>
    </w:p>
    <w:p w14:paraId="74ABFDD3" w14:textId="77777777" w:rsidR="00A65F5F" w:rsidRPr="006C01DE" w:rsidRDefault="00A65F5F" w:rsidP="00A65F5F">
      <w:pPr>
        <w:ind w:left="-540" w:right="-25"/>
      </w:pPr>
      <w:r w:rsidRPr="006C01DE">
        <w:t>De conformidad con el artículo 116 de la Ley Orgánica del Banco Central de Costa Rica, las empresas de los sectores no financieros que soliciten su registro en la Superintendencia General de Valores no podrán exceder un nivel de endeudamiento total (individual o consolidado) de 4 veces su capital y reservas de conformidad con la metodología que establezca el Superintendente General de Valores.</w:t>
      </w:r>
    </w:p>
    <w:p w14:paraId="05358709" w14:textId="77777777" w:rsidR="00A65F5F" w:rsidRDefault="00A65F5F" w:rsidP="00A65F5F">
      <w:pPr>
        <w:ind w:left="-540" w:right="-25"/>
      </w:pPr>
    </w:p>
    <w:p w14:paraId="718A0FA6" w14:textId="2A0FBF87" w:rsidR="00BA77CE" w:rsidRDefault="00BA77CE" w:rsidP="00A65F5F">
      <w:pPr>
        <w:ind w:left="-540" w:right="-25"/>
      </w:pPr>
      <w:r>
        <w:t>Según lo establecido en la ley 8660 el nivel de endeudamiento del ICE para los años 20</w:t>
      </w:r>
      <w:r w:rsidR="00A055A3">
        <w:t>2</w:t>
      </w:r>
      <w:r w:rsidR="004C75F1">
        <w:t>2</w:t>
      </w:r>
      <w:r>
        <w:t xml:space="preserve"> y 20</w:t>
      </w:r>
      <w:r w:rsidR="00C8007F">
        <w:t>2</w:t>
      </w:r>
      <w:r w:rsidR="004C75F1">
        <w:t>1</w:t>
      </w:r>
      <w:r>
        <w:t xml:space="preserve"> son los siguientes:</w:t>
      </w:r>
    </w:p>
    <w:p w14:paraId="338C031A" w14:textId="77777777" w:rsidR="004C75F1" w:rsidRDefault="004C75F1" w:rsidP="00AC56C7">
      <w:pPr>
        <w:ind w:left="-540" w:right="-25"/>
        <w:rPr>
          <w:b/>
          <w:u w:val="single"/>
        </w:rPr>
      </w:pPr>
    </w:p>
    <w:p w14:paraId="70F1E3BC" w14:textId="56C6333D" w:rsidR="002A64E0" w:rsidRDefault="002A64E0" w:rsidP="00AC56C7">
      <w:pPr>
        <w:ind w:left="-540" w:right="-25"/>
        <w:rPr>
          <w:b/>
          <w:u w:val="single"/>
        </w:rPr>
      </w:pPr>
      <w:r w:rsidRPr="00E97E85">
        <w:rPr>
          <w:b/>
          <w:u w:val="single"/>
        </w:rPr>
        <w:t>20</w:t>
      </w:r>
      <w:r w:rsidR="00930476" w:rsidRPr="00E97E85">
        <w:rPr>
          <w:b/>
          <w:u w:val="single"/>
        </w:rPr>
        <w:t>2</w:t>
      </w:r>
      <w:r w:rsidR="00F17255">
        <w:rPr>
          <w:b/>
          <w:u w:val="single"/>
        </w:rPr>
        <w:t>2</w:t>
      </w:r>
    </w:p>
    <w:p w14:paraId="0ABA909F" w14:textId="7852341D" w:rsidR="002A64E0" w:rsidRDefault="00D0166A" w:rsidP="003A3B35">
      <w:pPr>
        <w:ind w:left="-540" w:right="-25"/>
        <w:jc w:val="center"/>
        <w:rPr>
          <w:b/>
          <w:u w:val="single"/>
        </w:rPr>
      </w:pPr>
      <w:r w:rsidRPr="00D0166A">
        <w:rPr>
          <w:noProof/>
        </w:rPr>
        <w:drawing>
          <wp:inline distT="0" distB="0" distL="0" distR="0" wp14:anchorId="698A5848" wp14:editId="1A3181ED">
            <wp:extent cx="4724400" cy="2743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0" cy="2743200"/>
                    </a:xfrm>
                    <a:prstGeom prst="rect">
                      <a:avLst/>
                    </a:prstGeom>
                    <a:noFill/>
                    <a:ln>
                      <a:noFill/>
                    </a:ln>
                  </pic:spPr>
                </pic:pic>
              </a:graphicData>
            </a:graphic>
          </wp:inline>
        </w:drawing>
      </w:r>
    </w:p>
    <w:p w14:paraId="505BB7A9" w14:textId="2D74CBD0" w:rsidR="00D0166A" w:rsidRDefault="00D0166A" w:rsidP="00D0166A">
      <w:pPr>
        <w:ind w:left="-540" w:right="-25"/>
        <w:rPr>
          <w:b/>
          <w:u w:val="single"/>
        </w:rPr>
      </w:pPr>
      <w:r w:rsidRPr="00E97E85">
        <w:rPr>
          <w:b/>
          <w:u w:val="single"/>
        </w:rPr>
        <w:t>202</w:t>
      </w:r>
      <w:r>
        <w:rPr>
          <w:b/>
          <w:u w:val="single"/>
        </w:rPr>
        <w:t>1</w:t>
      </w:r>
    </w:p>
    <w:p w14:paraId="0DD9648E" w14:textId="3E62EFD0" w:rsidR="002E1290" w:rsidRDefault="00F17255" w:rsidP="0043767A">
      <w:pPr>
        <w:ind w:left="-540" w:right="-25"/>
        <w:jc w:val="center"/>
        <w:rPr>
          <w:b/>
          <w:u w:val="single"/>
        </w:rPr>
      </w:pPr>
      <w:r w:rsidRPr="00D75232">
        <w:rPr>
          <w:noProof/>
          <w:lang w:val="es-CR" w:eastAsia="es-CR"/>
        </w:rPr>
        <w:drawing>
          <wp:inline distT="0" distB="0" distL="0" distR="0" wp14:anchorId="7496C6DE" wp14:editId="12BED3E7">
            <wp:extent cx="4629150" cy="3414395"/>
            <wp:effectExtent l="0" t="0" r="0" b="0"/>
            <wp:docPr id="5" name="Imagen 5"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pic:nvPicPr>
                  <pic:blipFill>
                    <a:blip r:embed="rId26"/>
                    <a:stretch>
                      <a:fillRect/>
                    </a:stretch>
                  </pic:blipFill>
                  <pic:spPr>
                    <a:xfrm>
                      <a:off x="0" y="0"/>
                      <a:ext cx="4647656" cy="3428045"/>
                    </a:xfrm>
                    <a:prstGeom prst="rect">
                      <a:avLst/>
                    </a:prstGeom>
                  </pic:spPr>
                </pic:pic>
              </a:graphicData>
            </a:graphic>
          </wp:inline>
        </w:drawing>
      </w:r>
    </w:p>
    <w:p w14:paraId="7C470FCB" w14:textId="77777777" w:rsidR="00A65F5F" w:rsidRDefault="00A65F5F" w:rsidP="00A65F5F">
      <w:pPr>
        <w:ind w:left="-540" w:right="-25"/>
      </w:pPr>
      <w:r w:rsidRPr="00670E95">
        <w:t xml:space="preserve">Los indicadores de </w:t>
      </w:r>
      <w:r>
        <w:t>endeudamiento para el ICE</w:t>
      </w:r>
      <w:r w:rsidRPr="00670E95">
        <w:t xml:space="preserve"> son los siguientes</w:t>
      </w:r>
      <w:r>
        <w:t>:</w:t>
      </w:r>
    </w:p>
    <w:p w14:paraId="4D35E3E5" w14:textId="77777777" w:rsidR="00A65F5F" w:rsidRPr="00F92412" w:rsidRDefault="00A65F5F" w:rsidP="00EF0D70">
      <w:pPr>
        <w:pStyle w:val="Ttulo3"/>
        <w:numPr>
          <w:ilvl w:val="2"/>
          <w:numId w:val="24"/>
        </w:numPr>
        <w:ind w:left="567" w:hanging="1134"/>
      </w:pPr>
      <w:bookmarkStart w:id="1386" w:name="_Toc304737190"/>
      <w:bookmarkStart w:id="1387" w:name="_Toc343676025"/>
      <w:bookmarkStart w:id="1388" w:name="_Toc358619388"/>
      <w:bookmarkStart w:id="1389" w:name="_Toc358620653"/>
      <w:bookmarkStart w:id="1390" w:name="_Toc358621860"/>
      <w:bookmarkStart w:id="1391" w:name="_Toc358622837"/>
      <w:bookmarkStart w:id="1392" w:name="_Toc26357130"/>
      <w:bookmarkStart w:id="1393" w:name="_Toc138664919"/>
      <w:r w:rsidRPr="00F92412">
        <w:t>Pasivo Total a Patrimonio Neto (Porcentajes)</w:t>
      </w:r>
      <w:bookmarkEnd w:id="1386"/>
      <w:bookmarkEnd w:id="1387"/>
      <w:bookmarkEnd w:id="1388"/>
      <w:bookmarkEnd w:id="1389"/>
      <w:bookmarkEnd w:id="1390"/>
      <w:bookmarkEnd w:id="1391"/>
      <w:bookmarkEnd w:id="1392"/>
      <w:bookmarkEnd w:id="1393"/>
    </w:p>
    <w:p w14:paraId="2774997E" w14:textId="77777777" w:rsidR="00A65F5F" w:rsidRDefault="00A65F5F" w:rsidP="00A65F5F">
      <w:pPr>
        <w:ind w:left="-540" w:right="-25"/>
      </w:pPr>
    </w:p>
    <w:p w14:paraId="3F312D52" w14:textId="59D6E1F7" w:rsidR="00A65F5F" w:rsidRDefault="0043767A" w:rsidP="00A65F5F">
      <w:pPr>
        <w:ind w:left="-540" w:right="-25"/>
      </w:pPr>
      <w:r>
        <w:t xml:space="preserve">Este indicador </w:t>
      </w:r>
      <w:r w:rsidR="00A65F5F" w:rsidRPr="00223656">
        <w:t>permite evidenciar la exposición de los acreedores en el caso de una posible insolvencia de la empresa, una vez que se excluyen las utilidades disponibles</w:t>
      </w:r>
      <w:r w:rsidR="00A65F5F">
        <w:t>.</w:t>
      </w:r>
    </w:p>
    <w:p w14:paraId="23A7A403" w14:textId="25D64434" w:rsidR="0043767A" w:rsidRDefault="0043767A" w:rsidP="00A65F5F">
      <w:pPr>
        <w:ind w:left="-540" w:right="-25"/>
      </w:pPr>
    </w:p>
    <w:p w14:paraId="1B89C3F8" w14:textId="2540CED0" w:rsidR="00F31B70" w:rsidRDefault="0043767A" w:rsidP="00A65F5F">
      <w:pPr>
        <w:ind w:right="-25"/>
        <w:rPr>
          <w:b/>
          <w:sz w:val="20"/>
          <w:szCs w:val="20"/>
        </w:rPr>
      </w:pPr>
      <w:r>
        <w:rPr>
          <w:b/>
          <w:sz w:val="20"/>
          <w:szCs w:val="20"/>
        </w:rPr>
        <w:t xml:space="preserve">              </w:t>
      </w:r>
      <w:r w:rsidR="00A65F5F">
        <w:rPr>
          <w:b/>
          <w:sz w:val="20"/>
          <w:szCs w:val="20"/>
        </w:rPr>
        <w:t xml:space="preserve">   </w:t>
      </w: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7A6047" w:rsidRPr="007A6047" w14:paraId="7A53914D" w14:textId="77777777" w:rsidTr="007A6047">
        <w:trPr>
          <w:trHeight w:val="310"/>
          <w:jc w:val="center"/>
        </w:trPr>
        <w:tc>
          <w:tcPr>
            <w:tcW w:w="4496" w:type="dxa"/>
            <w:tcBorders>
              <w:top w:val="nil"/>
              <w:left w:val="nil"/>
              <w:bottom w:val="nil"/>
              <w:right w:val="nil"/>
            </w:tcBorders>
            <w:shd w:val="clear" w:color="000000" w:fill="333F4F"/>
            <w:noWrap/>
            <w:vAlign w:val="bottom"/>
            <w:hideMark/>
          </w:tcPr>
          <w:p w14:paraId="353CDC3F" w14:textId="77777777" w:rsidR="007A6047" w:rsidRPr="007A6047" w:rsidRDefault="007A6047" w:rsidP="007A6047">
            <w:pPr>
              <w:ind w:right="0"/>
              <w:jc w:val="left"/>
              <w:rPr>
                <w:rFonts w:ascii="Calibri" w:hAnsi="Calibri" w:cs="Calibri"/>
                <w:color w:val="000000"/>
                <w:sz w:val="22"/>
                <w:szCs w:val="22"/>
                <w:lang w:val="es-419" w:eastAsia="es-419"/>
              </w:rPr>
            </w:pPr>
            <w:r w:rsidRPr="007A6047">
              <w:rPr>
                <w:rFonts w:ascii="Calibri" w:hAnsi="Calibri" w:cs="Calibri"/>
                <w:color w:val="000000"/>
                <w:sz w:val="22"/>
                <w:szCs w:val="22"/>
                <w:lang w:val="es-419" w:eastAsia="es-419"/>
              </w:rPr>
              <w:t> </w:t>
            </w:r>
          </w:p>
        </w:tc>
        <w:tc>
          <w:tcPr>
            <w:tcW w:w="1476" w:type="dxa"/>
            <w:tcBorders>
              <w:top w:val="nil"/>
              <w:left w:val="nil"/>
              <w:bottom w:val="nil"/>
              <w:right w:val="nil"/>
            </w:tcBorders>
            <w:shd w:val="clear" w:color="000000" w:fill="333F4F"/>
            <w:noWrap/>
            <w:vAlign w:val="bottom"/>
            <w:hideMark/>
          </w:tcPr>
          <w:p w14:paraId="7ADA24BD" w14:textId="77777777" w:rsidR="007A6047" w:rsidRPr="007A6047" w:rsidRDefault="007A6047" w:rsidP="007A6047">
            <w:pPr>
              <w:ind w:right="0"/>
              <w:jc w:val="center"/>
              <w:rPr>
                <w:b/>
                <w:bCs/>
                <w:color w:val="FFFFFF"/>
                <w:lang w:val="es-419" w:eastAsia="es-419"/>
              </w:rPr>
            </w:pPr>
            <w:r w:rsidRPr="007A6047">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1DC06E48" w14:textId="77777777" w:rsidR="007A6047" w:rsidRPr="007A6047" w:rsidRDefault="007A6047" w:rsidP="007A6047">
            <w:pPr>
              <w:ind w:right="0"/>
              <w:jc w:val="center"/>
              <w:rPr>
                <w:b/>
                <w:bCs/>
                <w:color w:val="FFFFFF"/>
                <w:lang w:val="es-419" w:eastAsia="es-419"/>
              </w:rPr>
            </w:pPr>
            <w:r w:rsidRPr="007A6047">
              <w:rPr>
                <w:b/>
                <w:bCs/>
                <w:color w:val="FFFFFF"/>
                <w:lang w:val="es-419" w:eastAsia="es-419"/>
              </w:rPr>
              <w:t>dic-22</w:t>
            </w:r>
          </w:p>
        </w:tc>
      </w:tr>
      <w:tr w:rsidR="007A6047" w:rsidRPr="007A6047" w14:paraId="2498BDBC" w14:textId="77777777" w:rsidTr="007A6047">
        <w:trPr>
          <w:trHeight w:val="310"/>
          <w:jc w:val="center"/>
        </w:trPr>
        <w:tc>
          <w:tcPr>
            <w:tcW w:w="4496" w:type="dxa"/>
            <w:tcBorders>
              <w:top w:val="nil"/>
              <w:left w:val="nil"/>
              <w:bottom w:val="single" w:sz="4" w:space="0" w:color="auto"/>
              <w:right w:val="nil"/>
            </w:tcBorders>
            <w:shd w:val="clear" w:color="auto" w:fill="auto"/>
            <w:vAlign w:val="bottom"/>
            <w:hideMark/>
          </w:tcPr>
          <w:p w14:paraId="72FA2C4F" w14:textId="77777777" w:rsidR="007A6047" w:rsidRPr="007A6047" w:rsidRDefault="007A6047" w:rsidP="007A6047">
            <w:pPr>
              <w:ind w:right="0"/>
              <w:jc w:val="left"/>
              <w:rPr>
                <w:b/>
                <w:bCs/>
                <w:color w:val="000000"/>
                <w:lang w:val="es-419" w:eastAsia="es-419"/>
              </w:rPr>
            </w:pPr>
            <w:r w:rsidRPr="007A6047">
              <w:rPr>
                <w:b/>
                <w:bCs/>
                <w:color w:val="000000"/>
                <w:lang w:val="es-419" w:eastAsia="es-419"/>
              </w:rPr>
              <w:t>Pasivo Total  a Patrimonio Neto</w:t>
            </w:r>
          </w:p>
        </w:tc>
        <w:tc>
          <w:tcPr>
            <w:tcW w:w="1476" w:type="dxa"/>
            <w:tcBorders>
              <w:top w:val="nil"/>
              <w:left w:val="single" w:sz="4" w:space="0" w:color="auto"/>
              <w:bottom w:val="single" w:sz="4" w:space="0" w:color="auto"/>
              <w:right w:val="nil"/>
            </w:tcBorders>
            <w:shd w:val="clear" w:color="auto" w:fill="auto"/>
            <w:noWrap/>
            <w:vAlign w:val="center"/>
            <w:hideMark/>
          </w:tcPr>
          <w:p w14:paraId="0282BDED" w14:textId="77777777" w:rsidR="007A6047" w:rsidRPr="007A6047" w:rsidRDefault="007A6047" w:rsidP="007A6047">
            <w:pPr>
              <w:ind w:right="0"/>
              <w:jc w:val="center"/>
              <w:rPr>
                <w:b/>
                <w:bCs/>
                <w:color w:val="000000"/>
                <w:sz w:val="20"/>
                <w:szCs w:val="20"/>
                <w:lang w:val="es-419" w:eastAsia="es-419"/>
              </w:rPr>
            </w:pPr>
            <w:r w:rsidRPr="007A6047">
              <w:rPr>
                <w:b/>
                <w:bCs/>
                <w:color w:val="000000"/>
                <w:sz w:val="20"/>
                <w:szCs w:val="20"/>
                <w:lang w:val="es-419" w:eastAsia="es-419"/>
              </w:rPr>
              <w:t xml:space="preserve">                 1,528 </w:t>
            </w:r>
          </w:p>
        </w:tc>
        <w:tc>
          <w:tcPr>
            <w:tcW w:w="1476" w:type="dxa"/>
            <w:tcBorders>
              <w:top w:val="nil"/>
              <w:left w:val="single" w:sz="4" w:space="0" w:color="auto"/>
              <w:bottom w:val="single" w:sz="4" w:space="0" w:color="auto"/>
              <w:right w:val="nil"/>
            </w:tcBorders>
            <w:shd w:val="clear" w:color="auto" w:fill="auto"/>
            <w:noWrap/>
            <w:vAlign w:val="center"/>
            <w:hideMark/>
          </w:tcPr>
          <w:p w14:paraId="6CBCDDE0" w14:textId="77777777" w:rsidR="007A6047" w:rsidRPr="007A6047" w:rsidRDefault="007A6047" w:rsidP="007A6047">
            <w:pPr>
              <w:ind w:right="0"/>
              <w:jc w:val="center"/>
              <w:rPr>
                <w:b/>
                <w:bCs/>
                <w:color w:val="000000"/>
                <w:sz w:val="20"/>
                <w:szCs w:val="20"/>
                <w:lang w:val="es-419" w:eastAsia="es-419"/>
              </w:rPr>
            </w:pPr>
            <w:r w:rsidRPr="007A6047">
              <w:rPr>
                <w:b/>
                <w:bCs/>
                <w:color w:val="000000"/>
                <w:sz w:val="20"/>
                <w:szCs w:val="20"/>
                <w:lang w:val="es-419" w:eastAsia="es-419"/>
              </w:rPr>
              <w:t xml:space="preserve">                 1,313 </w:t>
            </w:r>
          </w:p>
        </w:tc>
      </w:tr>
      <w:tr w:rsidR="007A6047" w:rsidRPr="007A6047" w14:paraId="7D7CE6E9" w14:textId="77777777" w:rsidTr="007A6047">
        <w:trPr>
          <w:trHeight w:val="290"/>
          <w:jc w:val="center"/>
        </w:trPr>
        <w:tc>
          <w:tcPr>
            <w:tcW w:w="4496" w:type="dxa"/>
            <w:tcBorders>
              <w:top w:val="nil"/>
              <w:left w:val="nil"/>
              <w:bottom w:val="dashed" w:sz="4" w:space="0" w:color="auto"/>
              <w:right w:val="nil"/>
            </w:tcBorders>
            <w:shd w:val="clear" w:color="auto" w:fill="auto"/>
            <w:noWrap/>
            <w:vAlign w:val="bottom"/>
            <w:hideMark/>
          </w:tcPr>
          <w:p w14:paraId="12B39A4F"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a) Pasivo Total</w:t>
            </w:r>
          </w:p>
        </w:tc>
        <w:tc>
          <w:tcPr>
            <w:tcW w:w="1476" w:type="dxa"/>
            <w:tcBorders>
              <w:top w:val="nil"/>
              <w:left w:val="single" w:sz="4" w:space="0" w:color="auto"/>
              <w:bottom w:val="dotted" w:sz="4" w:space="0" w:color="auto"/>
              <w:right w:val="nil"/>
            </w:tcBorders>
            <w:shd w:val="clear" w:color="auto" w:fill="auto"/>
            <w:noWrap/>
            <w:vAlign w:val="bottom"/>
            <w:hideMark/>
          </w:tcPr>
          <w:p w14:paraId="0F338758"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 xml:space="preserve">          4 028 963 </w:t>
            </w:r>
          </w:p>
        </w:tc>
        <w:tc>
          <w:tcPr>
            <w:tcW w:w="1476" w:type="dxa"/>
            <w:tcBorders>
              <w:top w:val="nil"/>
              <w:left w:val="single" w:sz="4" w:space="0" w:color="auto"/>
              <w:bottom w:val="dotted" w:sz="4" w:space="0" w:color="auto"/>
              <w:right w:val="nil"/>
            </w:tcBorders>
            <w:shd w:val="clear" w:color="auto" w:fill="auto"/>
            <w:noWrap/>
            <w:vAlign w:val="bottom"/>
            <w:hideMark/>
          </w:tcPr>
          <w:p w14:paraId="46DBE8C0"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 xml:space="preserve">          3 680 501 </w:t>
            </w:r>
          </w:p>
        </w:tc>
      </w:tr>
      <w:tr w:rsidR="007A6047" w:rsidRPr="007A6047" w14:paraId="6D79F98B" w14:textId="77777777" w:rsidTr="007A6047">
        <w:trPr>
          <w:trHeight w:val="300"/>
          <w:jc w:val="center"/>
        </w:trPr>
        <w:tc>
          <w:tcPr>
            <w:tcW w:w="4496" w:type="dxa"/>
            <w:tcBorders>
              <w:top w:val="nil"/>
              <w:left w:val="nil"/>
              <w:bottom w:val="double" w:sz="6" w:space="0" w:color="auto"/>
              <w:right w:val="nil"/>
            </w:tcBorders>
            <w:shd w:val="clear" w:color="auto" w:fill="auto"/>
            <w:noWrap/>
            <w:vAlign w:val="bottom"/>
            <w:hideMark/>
          </w:tcPr>
          <w:p w14:paraId="3BB37EB1"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b) Patrimonio Neto</w:t>
            </w:r>
          </w:p>
        </w:tc>
        <w:tc>
          <w:tcPr>
            <w:tcW w:w="1476" w:type="dxa"/>
            <w:tcBorders>
              <w:top w:val="nil"/>
              <w:left w:val="single" w:sz="4" w:space="0" w:color="auto"/>
              <w:bottom w:val="double" w:sz="6" w:space="0" w:color="auto"/>
              <w:right w:val="nil"/>
            </w:tcBorders>
            <w:shd w:val="clear" w:color="auto" w:fill="auto"/>
            <w:noWrap/>
            <w:vAlign w:val="bottom"/>
            <w:hideMark/>
          </w:tcPr>
          <w:p w14:paraId="7010247D"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 xml:space="preserve">          2 636 361 </w:t>
            </w:r>
          </w:p>
        </w:tc>
        <w:tc>
          <w:tcPr>
            <w:tcW w:w="1476" w:type="dxa"/>
            <w:tcBorders>
              <w:top w:val="nil"/>
              <w:left w:val="single" w:sz="4" w:space="0" w:color="auto"/>
              <w:bottom w:val="double" w:sz="6" w:space="0" w:color="auto"/>
              <w:right w:val="nil"/>
            </w:tcBorders>
            <w:shd w:val="clear" w:color="auto" w:fill="auto"/>
            <w:noWrap/>
            <w:vAlign w:val="bottom"/>
            <w:hideMark/>
          </w:tcPr>
          <w:p w14:paraId="3654C799" w14:textId="77777777" w:rsidR="007A6047" w:rsidRPr="007A6047" w:rsidRDefault="007A6047" w:rsidP="007A6047">
            <w:pPr>
              <w:ind w:right="0"/>
              <w:jc w:val="left"/>
              <w:rPr>
                <w:color w:val="000000"/>
                <w:sz w:val="20"/>
                <w:szCs w:val="20"/>
                <w:lang w:val="es-419" w:eastAsia="es-419"/>
              </w:rPr>
            </w:pPr>
            <w:r w:rsidRPr="007A6047">
              <w:rPr>
                <w:color w:val="000000"/>
                <w:sz w:val="20"/>
                <w:szCs w:val="20"/>
                <w:lang w:val="es-419" w:eastAsia="es-419"/>
              </w:rPr>
              <w:t xml:space="preserve">          2 803 662 </w:t>
            </w:r>
          </w:p>
        </w:tc>
      </w:tr>
    </w:tbl>
    <w:p w14:paraId="424ADACD" w14:textId="77777777" w:rsidR="00F31B70" w:rsidRDefault="00F31B70" w:rsidP="00BA08EC">
      <w:pPr>
        <w:ind w:right="-25"/>
        <w:jc w:val="center"/>
        <w:rPr>
          <w:b/>
          <w:sz w:val="20"/>
          <w:szCs w:val="20"/>
        </w:rPr>
      </w:pPr>
    </w:p>
    <w:p w14:paraId="3AD198D4" w14:textId="01FC227B" w:rsidR="00A65F5F" w:rsidRDefault="00F31B70" w:rsidP="00BA08EC">
      <w:pPr>
        <w:ind w:left="708" w:right="-25"/>
      </w:pPr>
      <w:r>
        <w:rPr>
          <w:b/>
          <w:sz w:val="20"/>
          <w:szCs w:val="20"/>
        </w:rPr>
        <w:t xml:space="preserve">        </w:t>
      </w:r>
      <w:r w:rsidR="00A65F5F">
        <w:rPr>
          <w:b/>
          <w:sz w:val="20"/>
          <w:szCs w:val="20"/>
        </w:rPr>
        <w:t xml:space="preserve">  </w:t>
      </w:r>
      <w:r w:rsidR="00A65F5F" w:rsidRPr="00CA31E8">
        <w:rPr>
          <w:b/>
          <w:sz w:val="20"/>
          <w:szCs w:val="20"/>
        </w:rPr>
        <w:t>Nota:</w:t>
      </w:r>
      <w:r w:rsidR="00A65F5F" w:rsidRPr="00CA31E8">
        <w:rPr>
          <w:sz w:val="20"/>
          <w:szCs w:val="20"/>
        </w:rPr>
        <w:t xml:space="preserve"> </w:t>
      </w:r>
      <w:r w:rsidR="00A65F5F">
        <w:rPr>
          <w:sz w:val="20"/>
          <w:szCs w:val="20"/>
        </w:rPr>
        <w:t xml:space="preserve">El Patrimonio Neto se define como el Patrimonio Total menos las </w:t>
      </w:r>
      <w:r w:rsidR="00A65F5F" w:rsidRPr="006C02CE">
        <w:rPr>
          <w:sz w:val="20"/>
          <w:szCs w:val="20"/>
        </w:rPr>
        <w:t>Utilidades disponibles</w:t>
      </w:r>
    </w:p>
    <w:p w14:paraId="15E0DDFA" w14:textId="77777777" w:rsidR="00A65F5F" w:rsidRDefault="00A65F5F" w:rsidP="00A65F5F">
      <w:pPr>
        <w:ind w:left="-540" w:right="-25"/>
      </w:pPr>
    </w:p>
    <w:p w14:paraId="178F45C0" w14:textId="77777777" w:rsidR="00DB7B5A" w:rsidRPr="00D75232" w:rsidRDefault="00DB7B5A" w:rsidP="00DB7B5A">
      <w:pPr>
        <w:ind w:left="-540" w:right="-25"/>
      </w:pPr>
      <w:r w:rsidRPr="00D75232">
        <w:t>Para el cierre del 2022 este indicador muestra una mejoría en la exposición hacia los acreedores en caso de insolvencia, comparado con el resultado obtenido en los periodos 2020 y 2021, dado que los pasivos totales presentan una tendencia a la baja, debido principalmente a amortizaciones presentadas en las partidas de bonos, préstamos por pagar y en obligaciones por arrendamientos.  Asimismo, estas partidas se ven disminuidas por el efecto positivo de las fluctuaciones cambiarias debido a la apreciación del colón con respecto al dólar y el Yen con respecto al colón al cierre del periodo 2022.  Por su parte el patrimonio neto presenta un incremento producto del excedente neto al final del año 2022.</w:t>
      </w:r>
    </w:p>
    <w:p w14:paraId="02833971" w14:textId="77777777" w:rsidR="00D11ED4" w:rsidRPr="004222B1" w:rsidRDefault="00D11ED4" w:rsidP="00A65F5F">
      <w:pPr>
        <w:ind w:left="-540" w:right="-25"/>
      </w:pPr>
    </w:p>
    <w:p w14:paraId="7F3F4923" w14:textId="215410B4" w:rsidR="00A65F5F" w:rsidRDefault="00A65F5F" w:rsidP="00EF0D70">
      <w:pPr>
        <w:pStyle w:val="Ttulo3"/>
        <w:numPr>
          <w:ilvl w:val="2"/>
          <w:numId w:val="25"/>
        </w:numPr>
        <w:ind w:left="-567" w:firstLine="0"/>
      </w:pPr>
      <w:bookmarkStart w:id="1394" w:name="_Toc261418379"/>
      <w:bookmarkStart w:id="1395" w:name="_Toc261458563"/>
      <w:bookmarkStart w:id="1396" w:name="_Toc261458951"/>
      <w:bookmarkStart w:id="1397" w:name="_Toc262203273"/>
      <w:bookmarkStart w:id="1398" w:name="_Toc262218610"/>
      <w:bookmarkStart w:id="1399" w:name="_Toc262319066"/>
      <w:bookmarkStart w:id="1400" w:name="_Toc262458960"/>
      <w:bookmarkStart w:id="1401" w:name="_Toc262459814"/>
      <w:bookmarkStart w:id="1402" w:name="_Toc262460229"/>
      <w:bookmarkStart w:id="1403" w:name="_Toc262460356"/>
      <w:bookmarkStart w:id="1404" w:name="_Toc262460483"/>
      <w:bookmarkStart w:id="1405" w:name="_Toc261418380"/>
      <w:bookmarkStart w:id="1406" w:name="_Toc261458564"/>
      <w:bookmarkStart w:id="1407" w:name="_Toc261458952"/>
      <w:bookmarkStart w:id="1408" w:name="_Toc262203274"/>
      <w:bookmarkStart w:id="1409" w:name="_Toc262218611"/>
      <w:bookmarkStart w:id="1410" w:name="_Toc262319067"/>
      <w:bookmarkStart w:id="1411" w:name="_Toc262458961"/>
      <w:bookmarkStart w:id="1412" w:name="_Toc262459815"/>
      <w:bookmarkStart w:id="1413" w:name="_Toc262460230"/>
      <w:bookmarkStart w:id="1414" w:name="_Toc262460357"/>
      <w:bookmarkStart w:id="1415" w:name="_Toc262460484"/>
      <w:bookmarkStart w:id="1416" w:name="_Toc261418381"/>
      <w:bookmarkStart w:id="1417" w:name="_Toc261458565"/>
      <w:bookmarkStart w:id="1418" w:name="_Toc261458953"/>
      <w:bookmarkStart w:id="1419" w:name="_Toc262203275"/>
      <w:bookmarkStart w:id="1420" w:name="_Toc262218612"/>
      <w:bookmarkStart w:id="1421" w:name="_Toc262319068"/>
      <w:bookmarkStart w:id="1422" w:name="_Toc262458962"/>
      <w:bookmarkStart w:id="1423" w:name="_Toc262459816"/>
      <w:bookmarkStart w:id="1424" w:name="_Toc262460231"/>
      <w:bookmarkStart w:id="1425" w:name="_Toc262460358"/>
      <w:bookmarkStart w:id="1426" w:name="_Toc262460485"/>
      <w:bookmarkStart w:id="1427" w:name="_Toc234925821"/>
      <w:bookmarkStart w:id="1428" w:name="_Toc235615252"/>
      <w:bookmarkStart w:id="1429" w:name="_Toc235616740"/>
      <w:bookmarkStart w:id="1430" w:name="_Toc234925822"/>
      <w:bookmarkStart w:id="1431" w:name="_Toc235615253"/>
      <w:bookmarkStart w:id="1432" w:name="_Toc235616741"/>
      <w:bookmarkStart w:id="1433" w:name="_Toc304737193"/>
      <w:bookmarkStart w:id="1434" w:name="_Toc343676028"/>
      <w:bookmarkStart w:id="1435" w:name="_Toc358619391"/>
      <w:bookmarkStart w:id="1436" w:name="_Toc358620656"/>
      <w:bookmarkStart w:id="1437" w:name="_Toc358621863"/>
      <w:bookmarkStart w:id="1438" w:name="_Toc358622840"/>
      <w:bookmarkStart w:id="1439" w:name="_Toc26357131"/>
      <w:bookmarkStart w:id="1440" w:name="_Toc138664920"/>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966360">
        <w:t>Cuentas Contingentes (Veces)</w:t>
      </w:r>
      <w:bookmarkEnd w:id="1433"/>
      <w:bookmarkEnd w:id="1434"/>
      <w:bookmarkEnd w:id="1435"/>
      <w:bookmarkEnd w:id="1436"/>
      <w:bookmarkEnd w:id="1437"/>
      <w:bookmarkEnd w:id="1438"/>
      <w:bookmarkEnd w:id="1439"/>
      <w:bookmarkEnd w:id="1440"/>
    </w:p>
    <w:p w14:paraId="38CA8930" w14:textId="77777777" w:rsidR="002B7F96" w:rsidRPr="002B7F96" w:rsidRDefault="002B7F96" w:rsidP="002B7F96"/>
    <w:p w14:paraId="718522A5" w14:textId="6DCA5C97" w:rsidR="0043767A" w:rsidRDefault="0043767A" w:rsidP="0043767A"/>
    <w:p w14:paraId="214E8C18" w14:textId="77777777" w:rsidR="00F35B19" w:rsidRPr="00D75232" w:rsidRDefault="00F35B19" w:rsidP="00F35B19">
      <w:pPr>
        <w:ind w:left="-540" w:right="-25"/>
      </w:pPr>
      <w:r w:rsidRPr="00D75232">
        <w:t xml:space="preserve">Al 31 de diciembre del 2022, el Grupo ICE mantiene reconocido en los pasivos totales del balance de la situación financiera, provisiones asociadas a pasivos contingentes, con el propósito de cubrir eventuales pérdidas que se pudieran presentar en la resolución de procesos legales vigentes.  El monto de la provisión se determina bajo el amparo del criterio experto de la División Jurídica Institucional del Grupo ICE. </w:t>
      </w:r>
    </w:p>
    <w:p w14:paraId="284B8D1E" w14:textId="77777777" w:rsidR="00C21639" w:rsidRPr="00BA08EC" w:rsidRDefault="006B640C" w:rsidP="0043767A">
      <w:pPr>
        <w:rPr>
          <w:sz w:val="20"/>
        </w:rPr>
      </w:pPr>
      <w:r>
        <w:rPr>
          <w:sz w:val="20"/>
        </w:rPr>
        <w:t xml:space="preserve">                        </w:t>
      </w:r>
    </w:p>
    <w:tbl>
      <w:tblPr>
        <w:tblW w:w="7680" w:type="dxa"/>
        <w:jc w:val="center"/>
        <w:tblCellMar>
          <w:left w:w="70" w:type="dxa"/>
          <w:right w:w="70" w:type="dxa"/>
        </w:tblCellMar>
        <w:tblLook w:val="04A0" w:firstRow="1" w:lastRow="0" w:firstColumn="1" w:lastColumn="0" w:noHBand="0" w:noVBand="1"/>
      </w:tblPr>
      <w:tblGrid>
        <w:gridCol w:w="4869"/>
        <w:gridCol w:w="250"/>
        <w:gridCol w:w="1280"/>
        <w:gridCol w:w="195"/>
        <w:gridCol w:w="1280"/>
      </w:tblGrid>
      <w:tr w:rsidR="00C21639" w:rsidRPr="00D75232" w14:paraId="26F71AB5" w14:textId="77777777" w:rsidTr="00122EF5">
        <w:trPr>
          <w:trHeight w:val="290"/>
          <w:jc w:val="center"/>
        </w:trPr>
        <w:tc>
          <w:tcPr>
            <w:tcW w:w="4869" w:type="dxa"/>
            <w:vMerge w:val="restart"/>
            <w:tcBorders>
              <w:top w:val="nil"/>
              <w:left w:val="nil"/>
              <w:bottom w:val="single" w:sz="4" w:space="0" w:color="000000"/>
              <w:right w:val="nil"/>
            </w:tcBorders>
            <w:shd w:val="clear" w:color="000000" w:fill="FFFFFF"/>
            <w:vAlign w:val="center"/>
            <w:hideMark/>
          </w:tcPr>
          <w:p w14:paraId="75716DC5" w14:textId="77777777" w:rsidR="00C21639" w:rsidRPr="00D75232" w:rsidRDefault="00C21639" w:rsidP="00122EF5">
            <w:pPr>
              <w:ind w:right="0"/>
              <w:jc w:val="center"/>
              <w:rPr>
                <w:i/>
                <w:iCs/>
                <w:color w:val="000000"/>
                <w:sz w:val="22"/>
                <w:szCs w:val="22"/>
                <w:lang w:val="es-419" w:eastAsia="es-419"/>
              </w:rPr>
            </w:pPr>
            <w:r w:rsidRPr="00D75232">
              <w:rPr>
                <w:i/>
                <w:iCs/>
                <w:color w:val="000000"/>
                <w:sz w:val="22"/>
                <w:szCs w:val="22"/>
                <w:lang w:val="es-419" w:eastAsia="es-419"/>
              </w:rPr>
              <w:t>(Cifras en millones de colones)</w:t>
            </w:r>
          </w:p>
        </w:tc>
        <w:tc>
          <w:tcPr>
            <w:tcW w:w="196" w:type="dxa"/>
            <w:tcBorders>
              <w:top w:val="nil"/>
              <w:left w:val="nil"/>
              <w:bottom w:val="nil"/>
              <w:right w:val="nil"/>
            </w:tcBorders>
            <w:shd w:val="clear" w:color="000000" w:fill="FFFFFF"/>
            <w:noWrap/>
            <w:vAlign w:val="bottom"/>
            <w:hideMark/>
          </w:tcPr>
          <w:p w14:paraId="1B8D0F69" w14:textId="77777777" w:rsidR="00C21639" w:rsidRPr="00D75232" w:rsidRDefault="00C21639" w:rsidP="00122EF5">
            <w:pPr>
              <w:ind w:right="0"/>
              <w:jc w:val="center"/>
              <w:rPr>
                <w:b/>
                <w:bCs/>
                <w:color w:val="000000"/>
                <w:sz w:val="22"/>
                <w:szCs w:val="22"/>
                <w:lang w:val="es-419" w:eastAsia="es-419"/>
              </w:rPr>
            </w:pPr>
            <w:r w:rsidRPr="00D75232">
              <w:rPr>
                <w:b/>
                <w:bCs/>
                <w:color w:val="000000"/>
                <w:sz w:val="22"/>
                <w:szCs w:val="22"/>
                <w:lang w:val="es-419" w:eastAsia="es-419"/>
              </w:rPr>
              <w:t> </w:t>
            </w:r>
          </w:p>
        </w:tc>
        <w:tc>
          <w:tcPr>
            <w:tcW w:w="2615" w:type="dxa"/>
            <w:gridSpan w:val="3"/>
            <w:tcBorders>
              <w:top w:val="nil"/>
              <w:left w:val="nil"/>
              <w:bottom w:val="single" w:sz="4" w:space="0" w:color="auto"/>
              <w:right w:val="nil"/>
            </w:tcBorders>
            <w:shd w:val="clear" w:color="000000" w:fill="FFFFFF"/>
            <w:vAlign w:val="center"/>
            <w:hideMark/>
          </w:tcPr>
          <w:p w14:paraId="0D94F7E7"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Al 31 de diciembre de</w:t>
            </w:r>
          </w:p>
        </w:tc>
      </w:tr>
      <w:tr w:rsidR="00C21639" w:rsidRPr="00D75232" w14:paraId="74F9ABAF" w14:textId="77777777" w:rsidTr="00122EF5">
        <w:trPr>
          <w:trHeight w:val="290"/>
          <w:jc w:val="center"/>
        </w:trPr>
        <w:tc>
          <w:tcPr>
            <w:tcW w:w="4869" w:type="dxa"/>
            <w:vMerge/>
            <w:tcBorders>
              <w:top w:val="nil"/>
              <w:left w:val="nil"/>
              <w:bottom w:val="single" w:sz="4" w:space="0" w:color="000000"/>
              <w:right w:val="nil"/>
            </w:tcBorders>
            <w:vAlign w:val="center"/>
            <w:hideMark/>
          </w:tcPr>
          <w:p w14:paraId="70C857A9" w14:textId="77777777" w:rsidR="00C21639" w:rsidRPr="00D75232" w:rsidRDefault="00C21639" w:rsidP="00122EF5">
            <w:pPr>
              <w:ind w:right="0"/>
              <w:jc w:val="left"/>
              <w:rPr>
                <w:i/>
                <w:iCs/>
                <w:color w:val="000000"/>
                <w:sz w:val="22"/>
                <w:szCs w:val="22"/>
                <w:lang w:val="es-419" w:eastAsia="es-419"/>
              </w:rPr>
            </w:pPr>
          </w:p>
        </w:tc>
        <w:tc>
          <w:tcPr>
            <w:tcW w:w="196" w:type="dxa"/>
            <w:tcBorders>
              <w:top w:val="nil"/>
              <w:left w:val="nil"/>
              <w:bottom w:val="nil"/>
              <w:right w:val="nil"/>
            </w:tcBorders>
            <w:shd w:val="clear" w:color="000000" w:fill="FFFFFF"/>
            <w:noWrap/>
            <w:vAlign w:val="bottom"/>
            <w:hideMark/>
          </w:tcPr>
          <w:p w14:paraId="50D7DA4A" w14:textId="77777777" w:rsidR="00C21639" w:rsidRPr="00D75232" w:rsidRDefault="00C21639" w:rsidP="00122EF5">
            <w:pPr>
              <w:ind w:right="0"/>
              <w:jc w:val="left"/>
              <w:rPr>
                <w:b/>
                <w:bCs/>
                <w:color w:val="000000"/>
                <w:sz w:val="22"/>
                <w:szCs w:val="22"/>
                <w:lang w:val="es-419" w:eastAsia="es-419"/>
              </w:rPr>
            </w:pPr>
            <w:r w:rsidRPr="00D75232">
              <w:rPr>
                <w:b/>
                <w:bCs/>
                <w:color w:val="000000"/>
                <w:sz w:val="22"/>
                <w:szCs w:val="22"/>
                <w:lang w:val="es-419" w:eastAsia="es-419"/>
              </w:rPr>
              <w:t> </w:t>
            </w:r>
          </w:p>
        </w:tc>
        <w:tc>
          <w:tcPr>
            <w:tcW w:w="1280" w:type="dxa"/>
            <w:tcBorders>
              <w:top w:val="nil"/>
              <w:left w:val="nil"/>
              <w:bottom w:val="single" w:sz="4" w:space="0" w:color="auto"/>
              <w:right w:val="nil"/>
            </w:tcBorders>
            <w:shd w:val="clear" w:color="000000" w:fill="FFFFFF"/>
            <w:vAlign w:val="center"/>
            <w:hideMark/>
          </w:tcPr>
          <w:p w14:paraId="03DE384E"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2022</w:t>
            </w:r>
          </w:p>
        </w:tc>
        <w:tc>
          <w:tcPr>
            <w:tcW w:w="55" w:type="dxa"/>
            <w:tcBorders>
              <w:top w:val="nil"/>
              <w:left w:val="nil"/>
              <w:bottom w:val="nil"/>
              <w:right w:val="nil"/>
            </w:tcBorders>
            <w:shd w:val="clear" w:color="000000" w:fill="FFFFFF"/>
            <w:noWrap/>
            <w:vAlign w:val="bottom"/>
            <w:hideMark/>
          </w:tcPr>
          <w:p w14:paraId="7F22BFA1" w14:textId="77777777" w:rsidR="00C21639" w:rsidRPr="00D75232" w:rsidRDefault="00C21639" w:rsidP="00122EF5">
            <w:pPr>
              <w:ind w:right="0"/>
              <w:jc w:val="left"/>
              <w:rPr>
                <w:b/>
                <w:bCs/>
                <w:color w:val="000000"/>
                <w:sz w:val="22"/>
                <w:szCs w:val="22"/>
                <w:lang w:val="es-419" w:eastAsia="es-419"/>
              </w:rPr>
            </w:pPr>
            <w:r w:rsidRPr="00D75232">
              <w:rPr>
                <w:b/>
                <w:bCs/>
                <w:color w:val="000000"/>
                <w:sz w:val="22"/>
                <w:szCs w:val="22"/>
                <w:lang w:val="es-419" w:eastAsia="es-419"/>
              </w:rPr>
              <w:t> </w:t>
            </w:r>
          </w:p>
        </w:tc>
        <w:tc>
          <w:tcPr>
            <w:tcW w:w="1280" w:type="dxa"/>
            <w:tcBorders>
              <w:top w:val="nil"/>
              <w:left w:val="nil"/>
              <w:bottom w:val="single" w:sz="4" w:space="0" w:color="auto"/>
              <w:right w:val="nil"/>
            </w:tcBorders>
            <w:shd w:val="clear" w:color="000000" w:fill="FFFFFF"/>
            <w:vAlign w:val="center"/>
            <w:hideMark/>
          </w:tcPr>
          <w:p w14:paraId="731E85A3"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2021</w:t>
            </w:r>
          </w:p>
        </w:tc>
      </w:tr>
      <w:tr w:rsidR="00C21639" w:rsidRPr="00D75232" w14:paraId="5148045B" w14:textId="77777777" w:rsidTr="00122EF5">
        <w:trPr>
          <w:trHeight w:val="290"/>
          <w:jc w:val="center"/>
        </w:trPr>
        <w:tc>
          <w:tcPr>
            <w:tcW w:w="4869" w:type="dxa"/>
            <w:tcBorders>
              <w:top w:val="nil"/>
              <w:left w:val="nil"/>
              <w:bottom w:val="nil"/>
              <w:right w:val="nil"/>
            </w:tcBorders>
            <w:shd w:val="clear" w:color="auto" w:fill="auto"/>
            <w:noWrap/>
            <w:vAlign w:val="bottom"/>
            <w:hideMark/>
          </w:tcPr>
          <w:p w14:paraId="293C40F3"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Provisión de litigios (nota 31) (1)</w:t>
            </w:r>
          </w:p>
        </w:tc>
        <w:tc>
          <w:tcPr>
            <w:tcW w:w="196" w:type="dxa"/>
            <w:tcBorders>
              <w:top w:val="nil"/>
              <w:left w:val="nil"/>
              <w:bottom w:val="nil"/>
              <w:right w:val="nil"/>
            </w:tcBorders>
            <w:shd w:val="clear" w:color="000000" w:fill="FFFFFF"/>
            <w:noWrap/>
            <w:vAlign w:val="bottom"/>
            <w:hideMark/>
          </w:tcPr>
          <w:p w14:paraId="0794852B"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w:t>
            </w:r>
          </w:p>
        </w:tc>
        <w:tc>
          <w:tcPr>
            <w:tcW w:w="1280" w:type="dxa"/>
            <w:tcBorders>
              <w:top w:val="nil"/>
              <w:left w:val="nil"/>
              <w:bottom w:val="nil"/>
              <w:right w:val="nil"/>
            </w:tcBorders>
            <w:shd w:val="clear" w:color="auto" w:fill="auto"/>
            <w:vAlign w:val="bottom"/>
            <w:hideMark/>
          </w:tcPr>
          <w:p w14:paraId="67C582C2"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25.296 </w:t>
            </w:r>
          </w:p>
        </w:tc>
        <w:tc>
          <w:tcPr>
            <w:tcW w:w="55" w:type="dxa"/>
            <w:tcBorders>
              <w:top w:val="nil"/>
              <w:left w:val="nil"/>
              <w:bottom w:val="nil"/>
              <w:right w:val="nil"/>
            </w:tcBorders>
            <w:shd w:val="clear" w:color="000000" w:fill="FFFFFF"/>
            <w:noWrap/>
            <w:vAlign w:val="bottom"/>
            <w:hideMark/>
          </w:tcPr>
          <w:p w14:paraId="1F3638E6"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7E31A305"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3.379 </w:t>
            </w:r>
          </w:p>
        </w:tc>
      </w:tr>
      <w:tr w:rsidR="00C21639" w:rsidRPr="00D75232" w14:paraId="42FB1622" w14:textId="77777777" w:rsidTr="00122EF5">
        <w:trPr>
          <w:trHeight w:val="290"/>
          <w:jc w:val="center"/>
        </w:trPr>
        <w:tc>
          <w:tcPr>
            <w:tcW w:w="4869" w:type="dxa"/>
            <w:tcBorders>
              <w:top w:val="nil"/>
              <w:left w:val="nil"/>
              <w:bottom w:val="nil"/>
              <w:right w:val="nil"/>
            </w:tcBorders>
            <w:shd w:val="clear" w:color="000000" w:fill="FFFFFF"/>
            <w:noWrap/>
            <w:vAlign w:val="bottom"/>
            <w:hideMark/>
          </w:tcPr>
          <w:p w14:paraId="52DBF58B"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Provisión para garantías de terminales móviles (2)</w:t>
            </w:r>
          </w:p>
        </w:tc>
        <w:tc>
          <w:tcPr>
            <w:tcW w:w="196" w:type="dxa"/>
            <w:tcBorders>
              <w:top w:val="nil"/>
              <w:left w:val="nil"/>
              <w:bottom w:val="nil"/>
              <w:right w:val="nil"/>
            </w:tcBorders>
            <w:shd w:val="clear" w:color="000000" w:fill="FFFFFF"/>
            <w:noWrap/>
            <w:vAlign w:val="bottom"/>
            <w:hideMark/>
          </w:tcPr>
          <w:p w14:paraId="5B67B135"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340624AF"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1.761 </w:t>
            </w:r>
          </w:p>
        </w:tc>
        <w:tc>
          <w:tcPr>
            <w:tcW w:w="55" w:type="dxa"/>
            <w:tcBorders>
              <w:top w:val="nil"/>
              <w:left w:val="nil"/>
              <w:bottom w:val="nil"/>
              <w:right w:val="nil"/>
            </w:tcBorders>
            <w:shd w:val="clear" w:color="000000" w:fill="FFFFFF"/>
            <w:noWrap/>
            <w:vAlign w:val="bottom"/>
            <w:hideMark/>
          </w:tcPr>
          <w:p w14:paraId="6ABA0CA9"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7E84AD58"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1.006 </w:t>
            </w:r>
          </w:p>
        </w:tc>
      </w:tr>
      <w:tr w:rsidR="00C21639" w:rsidRPr="00D75232" w14:paraId="1CF2F228" w14:textId="77777777" w:rsidTr="00122EF5">
        <w:trPr>
          <w:trHeight w:val="290"/>
          <w:jc w:val="center"/>
        </w:trPr>
        <w:tc>
          <w:tcPr>
            <w:tcW w:w="4869" w:type="dxa"/>
            <w:tcBorders>
              <w:top w:val="nil"/>
              <w:left w:val="nil"/>
              <w:bottom w:val="nil"/>
              <w:right w:val="nil"/>
            </w:tcBorders>
            <w:shd w:val="clear" w:color="000000" w:fill="FFFFFF"/>
            <w:noWrap/>
            <w:vAlign w:val="bottom"/>
            <w:hideMark/>
          </w:tcPr>
          <w:p w14:paraId="358CF849"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Otros</w:t>
            </w:r>
          </w:p>
        </w:tc>
        <w:tc>
          <w:tcPr>
            <w:tcW w:w="196" w:type="dxa"/>
            <w:tcBorders>
              <w:top w:val="nil"/>
              <w:left w:val="nil"/>
              <w:bottom w:val="nil"/>
              <w:right w:val="nil"/>
            </w:tcBorders>
            <w:shd w:val="clear" w:color="000000" w:fill="FFFFFF"/>
            <w:noWrap/>
            <w:vAlign w:val="bottom"/>
            <w:hideMark/>
          </w:tcPr>
          <w:p w14:paraId="7C1DCB81"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single" w:sz="4" w:space="0" w:color="auto"/>
              <w:right w:val="nil"/>
            </w:tcBorders>
            <w:shd w:val="clear" w:color="auto" w:fill="auto"/>
            <w:vAlign w:val="bottom"/>
            <w:hideMark/>
          </w:tcPr>
          <w:p w14:paraId="1E14FC8A"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510 </w:t>
            </w:r>
          </w:p>
        </w:tc>
        <w:tc>
          <w:tcPr>
            <w:tcW w:w="55" w:type="dxa"/>
            <w:tcBorders>
              <w:top w:val="nil"/>
              <w:left w:val="nil"/>
              <w:bottom w:val="nil"/>
              <w:right w:val="nil"/>
            </w:tcBorders>
            <w:shd w:val="clear" w:color="000000" w:fill="FFFFFF"/>
            <w:noWrap/>
            <w:vAlign w:val="bottom"/>
            <w:hideMark/>
          </w:tcPr>
          <w:p w14:paraId="26290A88"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single" w:sz="4" w:space="0" w:color="auto"/>
              <w:right w:val="nil"/>
            </w:tcBorders>
            <w:shd w:val="clear" w:color="auto" w:fill="auto"/>
            <w:vAlign w:val="bottom"/>
            <w:hideMark/>
          </w:tcPr>
          <w:p w14:paraId="0F85D96D"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2.408 </w:t>
            </w:r>
          </w:p>
        </w:tc>
      </w:tr>
      <w:tr w:rsidR="00C21639" w:rsidRPr="00D75232" w14:paraId="319251A6" w14:textId="77777777" w:rsidTr="00122EF5">
        <w:trPr>
          <w:trHeight w:val="290"/>
          <w:jc w:val="center"/>
        </w:trPr>
        <w:tc>
          <w:tcPr>
            <w:tcW w:w="4869" w:type="dxa"/>
            <w:tcBorders>
              <w:top w:val="nil"/>
              <w:left w:val="nil"/>
              <w:bottom w:val="nil"/>
              <w:right w:val="nil"/>
            </w:tcBorders>
            <w:shd w:val="clear" w:color="000000" w:fill="FFFFFF"/>
            <w:noWrap/>
            <w:vAlign w:val="bottom"/>
            <w:hideMark/>
          </w:tcPr>
          <w:p w14:paraId="2F40ADEB"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 </w:t>
            </w:r>
          </w:p>
        </w:tc>
        <w:tc>
          <w:tcPr>
            <w:tcW w:w="196" w:type="dxa"/>
            <w:tcBorders>
              <w:top w:val="nil"/>
              <w:left w:val="nil"/>
              <w:bottom w:val="nil"/>
              <w:right w:val="nil"/>
            </w:tcBorders>
            <w:shd w:val="clear" w:color="000000" w:fill="FFFFFF"/>
            <w:noWrap/>
            <w:vAlign w:val="bottom"/>
            <w:hideMark/>
          </w:tcPr>
          <w:p w14:paraId="5F5CCB7D"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05F76051"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27.567 </w:t>
            </w:r>
          </w:p>
        </w:tc>
        <w:tc>
          <w:tcPr>
            <w:tcW w:w="55" w:type="dxa"/>
            <w:tcBorders>
              <w:top w:val="nil"/>
              <w:left w:val="nil"/>
              <w:bottom w:val="nil"/>
              <w:right w:val="nil"/>
            </w:tcBorders>
            <w:shd w:val="clear" w:color="000000" w:fill="FFFFFF"/>
            <w:noWrap/>
            <w:vAlign w:val="bottom"/>
            <w:hideMark/>
          </w:tcPr>
          <w:p w14:paraId="7E36B819"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14418B86"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6.793 </w:t>
            </w:r>
          </w:p>
        </w:tc>
      </w:tr>
      <w:tr w:rsidR="00C21639" w:rsidRPr="00D75232" w14:paraId="040D90C8" w14:textId="77777777" w:rsidTr="00122EF5">
        <w:trPr>
          <w:trHeight w:val="290"/>
          <w:jc w:val="center"/>
        </w:trPr>
        <w:tc>
          <w:tcPr>
            <w:tcW w:w="4869" w:type="dxa"/>
            <w:tcBorders>
              <w:top w:val="nil"/>
              <w:left w:val="nil"/>
              <w:bottom w:val="nil"/>
              <w:right w:val="nil"/>
            </w:tcBorders>
            <w:shd w:val="clear" w:color="000000" w:fill="FFFFFF"/>
            <w:noWrap/>
            <w:vAlign w:val="bottom"/>
            <w:hideMark/>
          </w:tcPr>
          <w:p w14:paraId="55530919"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Menos reclasificación de la porción no corriente</w:t>
            </w:r>
          </w:p>
        </w:tc>
        <w:tc>
          <w:tcPr>
            <w:tcW w:w="196" w:type="dxa"/>
            <w:tcBorders>
              <w:top w:val="nil"/>
              <w:left w:val="nil"/>
              <w:bottom w:val="nil"/>
              <w:right w:val="nil"/>
            </w:tcBorders>
            <w:shd w:val="clear" w:color="000000" w:fill="FFFFFF"/>
            <w:noWrap/>
            <w:vAlign w:val="bottom"/>
            <w:hideMark/>
          </w:tcPr>
          <w:p w14:paraId="6D90DBF8"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6953BBC4"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(3.799)</w:t>
            </w:r>
          </w:p>
        </w:tc>
        <w:tc>
          <w:tcPr>
            <w:tcW w:w="55" w:type="dxa"/>
            <w:tcBorders>
              <w:top w:val="nil"/>
              <w:left w:val="nil"/>
              <w:bottom w:val="nil"/>
              <w:right w:val="nil"/>
            </w:tcBorders>
            <w:shd w:val="clear" w:color="000000" w:fill="FFFFFF"/>
            <w:noWrap/>
            <w:vAlign w:val="bottom"/>
            <w:hideMark/>
          </w:tcPr>
          <w:p w14:paraId="4C574603"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auto" w:fill="auto"/>
            <w:vAlign w:val="bottom"/>
            <w:hideMark/>
          </w:tcPr>
          <w:p w14:paraId="4B25CBF0"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(2.338)</w:t>
            </w:r>
          </w:p>
        </w:tc>
      </w:tr>
      <w:tr w:rsidR="00C21639" w:rsidRPr="00D75232" w14:paraId="292B1E42" w14:textId="77777777" w:rsidTr="00122EF5">
        <w:trPr>
          <w:trHeight w:val="300"/>
          <w:jc w:val="center"/>
        </w:trPr>
        <w:tc>
          <w:tcPr>
            <w:tcW w:w="4869" w:type="dxa"/>
            <w:tcBorders>
              <w:top w:val="nil"/>
              <w:left w:val="nil"/>
              <w:bottom w:val="nil"/>
              <w:right w:val="nil"/>
            </w:tcBorders>
            <w:shd w:val="clear" w:color="000000" w:fill="FFFFFF"/>
            <w:noWrap/>
            <w:vAlign w:val="bottom"/>
            <w:hideMark/>
          </w:tcPr>
          <w:p w14:paraId="1777ECED" w14:textId="77777777" w:rsidR="00C21639" w:rsidRPr="00D75232" w:rsidRDefault="00C21639" w:rsidP="00122EF5">
            <w:pPr>
              <w:ind w:right="0" w:firstLineChars="100" w:firstLine="220"/>
              <w:jc w:val="left"/>
              <w:rPr>
                <w:color w:val="000000"/>
                <w:sz w:val="22"/>
                <w:szCs w:val="22"/>
                <w:lang w:val="es-419" w:eastAsia="es-419"/>
              </w:rPr>
            </w:pPr>
            <w:r w:rsidRPr="00D75232">
              <w:rPr>
                <w:color w:val="000000"/>
                <w:sz w:val="22"/>
                <w:szCs w:val="22"/>
                <w:lang w:val="es-419" w:eastAsia="es-419"/>
              </w:rPr>
              <w:t> </w:t>
            </w:r>
          </w:p>
        </w:tc>
        <w:tc>
          <w:tcPr>
            <w:tcW w:w="196" w:type="dxa"/>
            <w:tcBorders>
              <w:top w:val="nil"/>
              <w:left w:val="nil"/>
              <w:bottom w:val="nil"/>
              <w:right w:val="nil"/>
            </w:tcBorders>
            <w:shd w:val="clear" w:color="000000" w:fill="FFFFFF"/>
            <w:noWrap/>
            <w:vAlign w:val="bottom"/>
            <w:hideMark/>
          </w:tcPr>
          <w:p w14:paraId="6EC8F046"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w:t>
            </w:r>
          </w:p>
        </w:tc>
        <w:tc>
          <w:tcPr>
            <w:tcW w:w="1280" w:type="dxa"/>
            <w:tcBorders>
              <w:top w:val="single" w:sz="4" w:space="0" w:color="auto"/>
              <w:left w:val="nil"/>
              <w:bottom w:val="single" w:sz="4" w:space="0" w:color="auto"/>
              <w:right w:val="nil"/>
            </w:tcBorders>
            <w:shd w:val="clear" w:color="auto" w:fill="auto"/>
            <w:vAlign w:val="bottom"/>
            <w:hideMark/>
          </w:tcPr>
          <w:p w14:paraId="2DB6A5C4"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23.768 </w:t>
            </w:r>
          </w:p>
        </w:tc>
        <w:tc>
          <w:tcPr>
            <w:tcW w:w="55" w:type="dxa"/>
            <w:tcBorders>
              <w:top w:val="nil"/>
              <w:left w:val="nil"/>
              <w:bottom w:val="nil"/>
              <w:right w:val="nil"/>
            </w:tcBorders>
            <w:shd w:val="clear" w:color="000000" w:fill="FFFFFF"/>
            <w:noWrap/>
            <w:vAlign w:val="bottom"/>
            <w:hideMark/>
          </w:tcPr>
          <w:p w14:paraId="53021F40"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single" w:sz="4" w:space="0" w:color="auto"/>
              <w:left w:val="nil"/>
              <w:bottom w:val="single" w:sz="4" w:space="0" w:color="auto"/>
              <w:right w:val="nil"/>
            </w:tcBorders>
            <w:shd w:val="clear" w:color="auto" w:fill="auto"/>
            <w:vAlign w:val="bottom"/>
            <w:hideMark/>
          </w:tcPr>
          <w:p w14:paraId="1375CC4B" w14:textId="77777777" w:rsidR="00C21639" w:rsidRPr="00D75232" w:rsidRDefault="00C21639" w:rsidP="00122EF5">
            <w:pPr>
              <w:ind w:right="0"/>
              <w:jc w:val="center"/>
              <w:rPr>
                <w:color w:val="000000"/>
                <w:sz w:val="22"/>
                <w:szCs w:val="22"/>
                <w:lang w:val="es-419" w:eastAsia="es-419"/>
              </w:rPr>
            </w:pPr>
            <w:r w:rsidRPr="00D75232">
              <w:rPr>
                <w:color w:val="000000"/>
                <w:sz w:val="22"/>
                <w:szCs w:val="22"/>
                <w:lang w:val="es-419" w:eastAsia="es-419"/>
              </w:rPr>
              <w:t xml:space="preserve">          4.455 </w:t>
            </w:r>
          </w:p>
        </w:tc>
      </w:tr>
      <w:tr w:rsidR="00C21639" w:rsidRPr="00D75232" w14:paraId="37C44A66" w14:textId="77777777" w:rsidTr="00122EF5">
        <w:trPr>
          <w:trHeight w:val="300"/>
          <w:jc w:val="center"/>
        </w:trPr>
        <w:tc>
          <w:tcPr>
            <w:tcW w:w="4869" w:type="dxa"/>
            <w:tcBorders>
              <w:top w:val="nil"/>
              <w:left w:val="nil"/>
              <w:bottom w:val="nil"/>
              <w:right w:val="nil"/>
            </w:tcBorders>
            <w:shd w:val="clear" w:color="000000" w:fill="FFFFFF"/>
            <w:noWrap/>
            <w:vAlign w:val="bottom"/>
            <w:hideMark/>
          </w:tcPr>
          <w:p w14:paraId="7634889D"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96" w:type="dxa"/>
            <w:tcBorders>
              <w:top w:val="nil"/>
              <w:left w:val="nil"/>
              <w:bottom w:val="nil"/>
              <w:right w:val="nil"/>
            </w:tcBorders>
            <w:shd w:val="clear" w:color="000000" w:fill="FFFFFF"/>
            <w:noWrap/>
            <w:vAlign w:val="bottom"/>
            <w:hideMark/>
          </w:tcPr>
          <w:p w14:paraId="5869E98B"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000000" w:fill="FFFFFF"/>
            <w:noWrap/>
            <w:vAlign w:val="bottom"/>
            <w:hideMark/>
          </w:tcPr>
          <w:p w14:paraId="723152BC"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55" w:type="dxa"/>
            <w:tcBorders>
              <w:top w:val="nil"/>
              <w:left w:val="nil"/>
              <w:bottom w:val="nil"/>
              <w:right w:val="nil"/>
            </w:tcBorders>
            <w:shd w:val="clear" w:color="000000" w:fill="FFFFFF"/>
            <w:noWrap/>
            <w:vAlign w:val="bottom"/>
            <w:hideMark/>
          </w:tcPr>
          <w:p w14:paraId="693FDCF2"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c>
          <w:tcPr>
            <w:tcW w:w="1280" w:type="dxa"/>
            <w:tcBorders>
              <w:top w:val="nil"/>
              <w:left w:val="nil"/>
              <w:bottom w:val="nil"/>
              <w:right w:val="nil"/>
            </w:tcBorders>
            <w:shd w:val="clear" w:color="000000" w:fill="FFFFFF"/>
            <w:noWrap/>
            <w:vAlign w:val="bottom"/>
            <w:hideMark/>
          </w:tcPr>
          <w:p w14:paraId="520C2A6C" w14:textId="77777777" w:rsidR="00C21639" w:rsidRPr="00D75232" w:rsidRDefault="00C21639" w:rsidP="00122EF5">
            <w:pPr>
              <w:ind w:right="0"/>
              <w:jc w:val="left"/>
              <w:rPr>
                <w:color w:val="000000"/>
                <w:sz w:val="22"/>
                <w:szCs w:val="22"/>
                <w:lang w:val="es-419" w:eastAsia="es-419"/>
              </w:rPr>
            </w:pPr>
            <w:r w:rsidRPr="00D75232">
              <w:rPr>
                <w:color w:val="000000"/>
                <w:sz w:val="22"/>
                <w:szCs w:val="22"/>
                <w:lang w:val="es-419" w:eastAsia="es-419"/>
              </w:rPr>
              <w:t> </w:t>
            </w:r>
          </w:p>
        </w:tc>
      </w:tr>
    </w:tbl>
    <w:p w14:paraId="57B16118" w14:textId="776F6A06" w:rsidR="00A65F5F" w:rsidRPr="005C7E6A" w:rsidRDefault="00A65F5F" w:rsidP="00EF0D70">
      <w:pPr>
        <w:pStyle w:val="Ttulo2"/>
        <w:numPr>
          <w:ilvl w:val="1"/>
          <w:numId w:val="58"/>
        </w:numPr>
      </w:pPr>
      <w:bookmarkStart w:id="1441" w:name="_Toc304737194"/>
      <w:bookmarkStart w:id="1442" w:name="_Toc343676029"/>
      <w:bookmarkStart w:id="1443" w:name="_Toc358619392"/>
      <w:bookmarkStart w:id="1444" w:name="_Toc358620657"/>
      <w:bookmarkStart w:id="1445" w:name="_Toc358621864"/>
      <w:bookmarkStart w:id="1446" w:name="_Toc358622841"/>
      <w:bookmarkStart w:id="1447" w:name="_Toc26357132"/>
      <w:bookmarkStart w:id="1448" w:name="_Toc138664921"/>
      <w:r w:rsidRPr="005C7E6A">
        <w:t>Capitalización</w:t>
      </w:r>
      <w:bookmarkEnd w:id="1441"/>
      <w:bookmarkEnd w:id="1442"/>
      <w:bookmarkEnd w:id="1443"/>
      <w:bookmarkEnd w:id="1444"/>
      <w:bookmarkEnd w:id="1445"/>
      <w:bookmarkEnd w:id="1446"/>
      <w:bookmarkEnd w:id="1447"/>
      <w:r w:rsidR="0020490F">
        <w:t xml:space="preserve"> (en millones de colones)</w:t>
      </w:r>
      <w:bookmarkEnd w:id="1448"/>
    </w:p>
    <w:p w14:paraId="4AE6B1CE" w14:textId="39F79798" w:rsidR="00A65F5F" w:rsidRDefault="00A65F5F" w:rsidP="00A65F5F">
      <w:pPr>
        <w:ind w:left="-540" w:right="-25"/>
      </w:pPr>
      <w:r w:rsidRPr="00670E95">
        <w:t xml:space="preserve">A </w:t>
      </w:r>
      <w:r w:rsidR="00E3705F" w:rsidRPr="00670E95">
        <w:t>continuación,</w:t>
      </w:r>
      <w:r w:rsidRPr="00670E95">
        <w:t xml:space="preserve"> se detalla la composición del patrimonio del </w:t>
      </w:r>
      <w:r>
        <w:t>ICE</w:t>
      </w:r>
      <w:r w:rsidRPr="00670E95">
        <w:t>, en los últimos períodos:</w:t>
      </w:r>
    </w:p>
    <w:p w14:paraId="3B1BE7D2" w14:textId="5B55E10C" w:rsidR="0043767A" w:rsidRDefault="0043767A" w:rsidP="00A65F5F">
      <w:pPr>
        <w:ind w:left="-540" w:right="-25"/>
      </w:pPr>
    </w:p>
    <w:p w14:paraId="08A77183" w14:textId="4562A4B5" w:rsidR="0043767A" w:rsidRDefault="0043767A" w:rsidP="00A65F5F">
      <w:pPr>
        <w:ind w:left="-540" w:right="-25"/>
      </w:pPr>
    </w:p>
    <w:tbl>
      <w:tblPr>
        <w:tblW w:w="7448" w:type="dxa"/>
        <w:jc w:val="center"/>
        <w:tblCellMar>
          <w:left w:w="70" w:type="dxa"/>
          <w:right w:w="70" w:type="dxa"/>
        </w:tblCellMar>
        <w:tblLook w:val="04A0" w:firstRow="1" w:lastRow="0" w:firstColumn="1" w:lastColumn="0" w:noHBand="0" w:noVBand="1"/>
      </w:tblPr>
      <w:tblGrid>
        <w:gridCol w:w="4496"/>
        <w:gridCol w:w="1476"/>
        <w:gridCol w:w="1476"/>
      </w:tblGrid>
      <w:tr w:rsidR="00A4186E" w:rsidRPr="00A4186E" w14:paraId="3F0F933E" w14:textId="77777777" w:rsidTr="00A4186E">
        <w:trPr>
          <w:trHeight w:val="310"/>
          <w:jc w:val="center"/>
        </w:trPr>
        <w:tc>
          <w:tcPr>
            <w:tcW w:w="4496" w:type="dxa"/>
            <w:tcBorders>
              <w:top w:val="nil"/>
              <w:left w:val="nil"/>
              <w:bottom w:val="nil"/>
              <w:right w:val="nil"/>
            </w:tcBorders>
            <w:shd w:val="clear" w:color="000000" w:fill="333F4F"/>
            <w:noWrap/>
            <w:vAlign w:val="bottom"/>
            <w:hideMark/>
          </w:tcPr>
          <w:p w14:paraId="022642B1" w14:textId="77777777" w:rsidR="00A4186E" w:rsidRPr="00A4186E" w:rsidRDefault="00A4186E" w:rsidP="00A4186E">
            <w:pPr>
              <w:ind w:right="0"/>
              <w:jc w:val="left"/>
              <w:rPr>
                <w:rFonts w:ascii="Calibri" w:hAnsi="Calibri" w:cs="Calibri"/>
                <w:b/>
                <w:bCs/>
                <w:color w:val="FFFFFF"/>
                <w:sz w:val="22"/>
                <w:szCs w:val="22"/>
                <w:lang w:val="es-419" w:eastAsia="es-419"/>
              </w:rPr>
            </w:pPr>
            <w:r w:rsidRPr="00A4186E">
              <w:rPr>
                <w:rFonts w:ascii="Calibri" w:hAnsi="Calibri" w:cs="Calibri"/>
                <w:b/>
                <w:bCs/>
                <w:color w:val="FFFFFF"/>
                <w:sz w:val="22"/>
                <w:szCs w:val="22"/>
                <w:lang w:val="es-419" w:eastAsia="es-419"/>
              </w:rPr>
              <w:t>Datos en millones de colones</w:t>
            </w:r>
          </w:p>
        </w:tc>
        <w:tc>
          <w:tcPr>
            <w:tcW w:w="1476" w:type="dxa"/>
            <w:tcBorders>
              <w:top w:val="nil"/>
              <w:left w:val="nil"/>
              <w:bottom w:val="nil"/>
              <w:right w:val="nil"/>
            </w:tcBorders>
            <w:shd w:val="clear" w:color="000000" w:fill="333F4F"/>
            <w:noWrap/>
            <w:vAlign w:val="bottom"/>
            <w:hideMark/>
          </w:tcPr>
          <w:p w14:paraId="10D92ACA" w14:textId="77777777" w:rsidR="00A4186E" w:rsidRPr="00A4186E" w:rsidRDefault="00A4186E" w:rsidP="00A4186E">
            <w:pPr>
              <w:ind w:right="0"/>
              <w:jc w:val="center"/>
              <w:rPr>
                <w:b/>
                <w:bCs/>
                <w:color w:val="FFFFFF"/>
                <w:lang w:val="es-419" w:eastAsia="es-419"/>
              </w:rPr>
            </w:pPr>
            <w:r w:rsidRPr="00A4186E">
              <w:rPr>
                <w:b/>
                <w:bCs/>
                <w:color w:val="FFFFFF"/>
                <w:lang w:val="es-419" w:eastAsia="es-419"/>
              </w:rPr>
              <w:t>dic-21</w:t>
            </w:r>
          </w:p>
        </w:tc>
        <w:tc>
          <w:tcPr>
            <w:tcW w:w="1476" w:type="dxa"/>
            <w:tcBorders>
              <w:top w:val="nil"/>
              <w:left w:val="nil"/>
              <w:bottom w:val="nil"/>
              <w:right w:val="nil"/>
            </w:tcBorders>
            <w:shd w:val="clear" w:color="000000" w:fill="333F4F"/>
            <w:noWrap/>
            <w:vAlign w:val="bottom"/>
            <w:hideMark/>
          </w:tcPr>
          <w:p w14:paraId="764B3A7C" w14:textId="77777777" w:rsidR="00A4186E" w:rsidRPr="00A4186E" w:rsidRDefault="00A4186E" w:rsidP="00A4186E">
            <w:pPr>
              <w:ind w:right="0"/>
              <w:jc w:val="center"/>
              <w:rPr>
                <w:b/>
                <w:bCs/>
                <w:color w:val="FFFFFF"/>
                <w:lang w:val="es-419" w:eastAsia="es-419"/>
              </w:rPr>
            </w:pPr>
            <w:r w:rsidRPr="00A4186E">
              <w:rPr>
                <w:b/>
                <w:bCs/>
                <w:color w:val="FFFFFF"/>
                <w:lang w:val="es-419" w:eastAsia="es-419"/>
              </w:rPr>
              <w:t>dic-22</w:t>
            </w:r>
          </w:p>
        </w:tc>
      </w:tr>
      <w:tr w:rsidR="00A4186E" w:rsidRPr="00A4186E" w14:paraId="06A5FA81" w14:textId="77777777" w:rsidTr="00A4186E">
        <w:trPr>
          <w:trHeight w:val="300"/>
          <w:jc w:val="center"/>
        </w:trPr>
        <w:tc>
          <w:tcPr>
            <w:tcW w:w="4496" w:type="dxa"/>
            <w:tcBorders>
              <w:top w:val="nil"/>
              <w:left w:val="nil"/>
              <w:bottom w:val="single" w:sz="4" w:space="0" w:color="auto"/>
              <w:right w:val="nil"/>
            </w:tcBorders>
            <w:shd w:val="clear" w:color="auto" w:fill="auto"/>
            <w:noWrap/>
            <w:vAlign w:val="bottom"/>
            <w:hideMark/>
          </w:tcPr>
          <w:p w14:paraId="53909673" w14:textId="77777777" w:rsidR="00A4186E" w:rsidRPr="00A4186E" w:rsidRDefault="00A4186E" w:rsidP="00A4186E">
            <w:pPr>
              <w:ind w:right="0"/>
              <w:jc w:val="left"/>
              <w:rPr>
                <w:color w:val="000000"/>
                <w:sz w:val="20"/>
                <w:szCs w:val="20"/>
                <w:lang w:val="es-419" w:eastAsia="es-419"/>
              </w:rPr>
            </w:pPr>
            <w:r w:rsidRPr="00A4186E">
              <w:rPr>
                <w:color w:val="000000"/>
                <w:sz w:val="20"/>
                <w:szCs w:val="20"/>
                <w:lang w:val="es-419" w:eastAsia="es-419"/>
              </w:rPr>
              <w:t>Capital aportado</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CE8AD50"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155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354DD9B6"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155 </w:t>
            </w:r>
          </w:p>
        </w:tc>
      </w:tr>
      <w:tr w:rsidR="00A4186E" w:rsidRPr="00A4186E" w14:paraId="4EFE1F06" w14:textId="77777777" w:rsidTr="00A4186E">
        <w:trPr>
          <w:trHeight w:val="290"/>
          <w:jc w:val="center"/>
        </w:trPr>
        <w:tc>
          <w:tcPr>
            <w:tcW w:w="4496" w:type="dxa"/>
            <w:tcBorders>
              <w:top w:val="nil"/>
              <w:left w:val="nil"/>
              <w:bottom w:val="single" w:sz="4" w:space="0" w:color="auto"/>
              <w:right w:val="nil"/>
            </w:tcBorders>
            <w:shd w:val="clear" w:color="auto" w:fill="auto"/>
            <w:noWrap/>
            <w:vAlign w:val="bottom"/>
            <w:hideMark/>
          </w:tcPr>
          <w:p w14:paraId="2887E31B" w14:textId="77777777" w:rsidR="00A4186E" w:rsidRPr="00A4186E" w:rsidRDefault="00A4186E" w:rsidP="00A4186E">
            <w:pPr>
              <w:ind w:right="0"/>
              <w:jc w:val="left"/>
              <w:rPr>
                <w:color w:val="000000"/>
                <w:sz w:val="20"/>
                <w:szCs w:val="20"/>
                <w:lang w:val="es-419" w:eastAsia="es-419"/>
              </w:rPr>
            </w:pPr>
            <w:r w:rsidRPr="00A4186E">
              <w:rPr>
                <w:color w:val="000000"/>
                <w:sz w:val="20"/>
                <w:szCs w:val="20"/>
                <w:lang w:val="es-419" w:eastAsia="es-419"/>
              </w:rPr>
              <w:t>Reservas de desarrollo</w:t>
            </w:r>
          </w:p>
        </w:tc>
        <w:tc>
          <w:tcPr>
            <w:tcW w:w="1476" w:type="dxa"/>
            <w:tcBorders>
              <w:top w:val="nil"/>
              <w:left w:val="nil"/>
              <w:bottom w:val="single" w:sz="4" w:space="0" w:color="auto"/>
              <w:right w:val="single" w:sz="4" w:space="0" w:color="auto"/>
            </w:tcBorders>
            <w:shd w:val="clear" w:color="auto" w:fill="auto"/>
            <w:noWrap/>
            <w:vAlign w:val="bottom"/>
            <w:hideMark/>
          </w:tcPr>
          <w:p w14:paraId="00205E27"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2 323 529 </w:t>
            </w:r>
          </w:p>
        </w:tc>
        <w:tc>
          <w:tcPr>
            <w:tcW w:w="1476" w:type="dxa"/>
            <w:tcBorders>
              <w:top w:val="nil"/>
              <w:left w:val="nil"/>
              <w:bottom w:val="single" w:sz="4" w:space="0" w:color="auto"/>
              <w:right w:val="single" w:sz="4" w:space="0" w:color="auto"/>
            </w:tcBorders>
            <w:shd w:val="clear" w:color="auto" w:fill="auto"/>
            <w:noWrap/>
            <w:vAlign w:val="bottom"/>
            <w:hideMark/>
          </w:tcPr>
          <w:p w14:paraId="74C89B63"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2 469 080 </w:t>
            </w:r>
          </w:p>
        </w:tc>
      </w:tr>
      <w:tr w:rsidR="00A4186E" w:rsidRPr="00A4186E" w14:paraId="7EA86EAD" w14:textId="77777777" w:rsidTr="00A4186E">
        <w:trPr>
          <w:trHeight w:val="290"/>
          <w:jc w:val="center"/>
        </w:trPr>
        <w:tc>
          <w:tcPr>
            <w:tcW w:w="4496" w:type="dxa"/>
            <w:tcBorders>
              <w:top w:val="nil"/>
              <w:left w:val="nil"/>
              <w:bottom w:val="single" w:sz="4" w:space="0" w:color="auto"/>
              <w:right w:val="nil"/>
            </w:tcBorders>
            <w:shd w:val="clear" w:color="auto" w:fill="auto"/>
            <w:noWrap/>
            <w:vAlign w:val="bottom"/>
            <w:hideMark/>
          </w:tcPr>
          <w:p w14:paraId="05F90D5D" w14:textId="77777777" w:rsidR="00A4186E" w:rsidRPr="00A4186E" w:rsidRDefault="00A4186E" w:rsidP="00A4186E">
            <w:pPr>
              <w:ind w:right="0"/>
              <w:jc w:val="left"/>
              <w:rPr>
                <w:color w:val="000000"/>
                <w:sz w:val="20"/>
                <w:szCs w:val="20"/>
                <w:lang w:val="es-419" w:eastAsia="es-419"/>
              </w:rPr>
            </w:pPr>
            <w:r w:rsidRPr="00A4186E">
              <w:rPr>
                <w:color w:val="000000"/>
                <w:sz w:val="20"/>
                <w:szCs w:val="20"/>
                <w:lang w:val="es-419" w:eastAsia="es-419"/>
              </w:rPr>
              <w:t>Utilidades retenidas</w:t>
            </w:r>
          </w:p>
        </w:tc>
        <w:tc>
          <w:tcPr>
            <w:tcW w:w="1476" w:type="dxa"/>
            <w:tcBorders>
              <w:top w:val="nil"/>
              <w:left w:val="nil"/>
              <w:bottom w:val="single" w:sz="4" w:space="0" w:color="auto"/>
              <w:right w:val="single" w:sz="4" w:space="0" w:color="auto"/>
            </w:tcBorders>
            <w:shd w:val="clear" w:color="auto" w:fill="auto"/>
            <w:noWrap/>
            <w:vAlign w:val="bottom"/>
            <w:hideMark/>
          </w:tcPr>
          <w:p w14:paraId="3E8256A4"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306 908 </w:t>
            </w:r>
          </w:p>
        </w:tc>
        <w:tc>
          <w:tcPr>
            <w:tcW w:w="1476" w:type="dxa"/>
            <w:tcBorders>
              <w:top w:val="nil"/>
              <w:left w:val="nil"/>
              <w:bottom w:val="single" w:sz="4" w:space="0" w:color="auto"/>
              <w:right w:val="single" w:sz="4" w:space="0" w:color="auto"/>
            </w:tcBorders>
            <w:shd w:val="clear" w:color="auto" w:fill="auto"/>
            <w:noWrap/>
            <w:vAlign w:val="bottom"/>
            <w:hideMark/>
          </w:tcPr>
          <w:p w14:paraId="2942B1B6"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328 297 </w:t>
            </w:r>
          </w:p>
        </w:tc>
      </w:tr>
      <w:tr w:rsidR="00A4186E" w:rsidRPr="00A4186E" w14:paraId="63859918" w14:textId="77777777" w:rsidTr="00A4186E">
        <w:trPr>
          <w:trHeight w:val="290"/>
          <w:jc w:val="center"/>
        </w:trPr>
        <w:tc>
          <w:tcPr>
            <w:tcW w:w="4496" w:type="dxa"/>
            <w:tcBorders>
              <w:top w:val="nil"/>
              <w:left w:val="nil"/>
              <w:bottom w:val="single" w:sz="4" w:space="0" w:color="auto"/>
              <w:right w:val="nil"/>
            </w:tcBorders>
            <w:shd w:val="clear" w:color="auto" w:fill="auto"/>
            <w:noWrap/>
            <w:vAlign w:val="bottom"/>
            <w:hideMark/>
          </w:tcPr>
          <w:p w14:paraId="1EAAE1B4" w14:textId="77777777" w:rsidR="00A4186E" w:rsidRPr="00A4186E" w:rsidRDefault="00A4186E" w:rsidP="00A4186E">
            <w:pPr>
              <w:ind w:right="0"/>
              <w:jc w:val="left"/>
              <w:rPr>
                <w:color w:val="000000"/>
                <w:sz w:val="20"/>
                <w:szCs w:val="20"/>
                <w:lang w:val="es-419" w:eastAsia="es-419"/>
              </w:rPr>
            </w:pPr>
            <w:r w:rsidRPr="00A4186E">
              <w:rPr>
                <w:color w:val="000000"/>
                <w:sz w:val="20"/>
                <w:szCs w:val="20"/>
                <w:lang w:val="es-419" w:eastAsia="es-419"/>
              </w:rPr>
              <w:t>Participaciones no controladas</w:t>
            </w:r>
          </w:p>
        </w:tc>
        <w:tc>
          <w:tcPr>
            <w:tcW w:w="1476" w:type="dxa"/>
            <w:tcBorders>
              <w:top w:val="nil"/>
              <w:left w:val="nil"/>
              <w:bottom w:val="single" w:sz="4" w:space="0" w:color="auto"/>
              <w:right w:val="single" w:sz="4" w:space="0" w:color="auto"/>
            </w:tcBorders>
            <w:shd w:val="clear" w:color="auto" w:fill="auto"/>
            <w:noWrap/>
            <w:vAlign w:val="bottom"/>
            <w:hideMark/>
          </w:tcPr>
          <w:p w14:paraId="1CA17DCD"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5 769 </w:t>
            </w:r>
          </w:p>
        </w:tc>
        <w:tc>
          <w:tcPr>
            <w:tcW w:w="1476" w:type="dxa"/>
            <w:tcBorders>
              <w:top w:val="nil"/>
              <w:left w:val="nil"/>
              <w:bottom w:val="single" w:sz="4" w:space="0" w:color="auto"/>
              <w:right w:val="single" w:sz="4" w:space="0" w:color="auto"/>
            </w:tcBorders>
            <w:shd w:val="clear" w:color="auto" w:fill="auto"/>
            <w:noWrap/>
            <w:vAlign w:val="bottom"/>
            <w:hideMark/>
          </w:tcPr>
          <w:p w14:paraId="7A63D8EB" w14:textId="77777777" w:rsidR="00A4186E" w:rsidRPr="00A4186E" w:rsidRDefault="00A4186E" w:rsidP="00A4186E">
            <w:pPr>
              <w:ind w:right="0"/>
              <w:jc w:val="center"/>
              <w:rPr>
                <w:color w:val="000000"/>
                <w:sz w:val="20"/>
                <w:szCs w:val="20"/>
                <w:lang w:val="es-419" w:eastAsia="es-419"/>
              </w:rPr>
            </w:pPr>
            <w:r w:rsidRPr="00A4186E">
              <w:rPr>
                <w:color w:val="000000"/>
                <w:sz w:val="20"/>
                <w:szCs w:val="20"/>
                <w:lang w:val="es-419" w:eastAsia="es-419"/>
              </w:rPr>
              <w:t xml:space="preserve">                 6 130 </w:t>
            </w:r>
          </w:p>
        </w:tc>
      </w:tr>
      <w:tr w:rsidR="00A4186E" w:rsidRPr="00A4186E" w14:paraId="6CCCB836" w14:textId="77777777" w:rsidTr="00A4186E">
        <w:trPr>
          <w:trHeight w:val="300"/>
          <w:jc w:val="center"/>
        </w:trPr>
        <w:tc>
          <w:tcPr>
            <w:tcW w:w="4496" w:type="dxa"/>
            <w:tcBorders>
              <w:top w:val="nil"/>
              <w:left w:val="nil"/>
              <w:bottom w:val="double" w:sz="6" w:space="0" w:color="auto"/>
              <w:right w:val="nil"/>
            </w:tcBorders>
            <w:shd w:val="clear" w:color="auto" w:fill="auto"/>
            <w:noWrap/>
            <w:vAlign w:val="bottom"/>
            <w:hideMark/>
          </w:tcPr>
          <w:p w14:paraId="174F12F3" w14:textId="77777777" w:rsidR="00A4186E" w:rsidRPr="00A4186E" w:rsidRDefault="00A4186E" w:rsidP="00A4186E">
            <w:pPr>
              <w:ind w:right="0"/>
              <w:jc w:val="left"/>
              <w:rPr>
                <w:b/>
                <w:bCs/>
                <w:color w:val="000000"/>
                <w:sz w:val="20"/>
                <w:szCs w:val="20"/>
                <w:lang w:val="es-419" w:eastAsia="es-419"/>
              </w:rPr>
            </w:pPr>
            <w:r w:rsidRPr="00A4186E">
              <w:rPr>
                <w:b/>
                <w:bCs/>
                <w:color w:val="000000"/>
                <w:sz w:val="20"/>
                <w:szCs w:val="20"/>
                <w:lang w:val="es-419" w:eastAsia="es-419"/>
              </w:rPr>
              <w:t>TOTAL PATRIMONIO</w:t>
            </w:r>
          </w:p>
        </w:tc>
        <w:tc>
          <w:tcPr>
            <w:tcW w:w="1476" w:type="dxa"/>
            <w:tcBorders>
              <w:top w:val="nil"/>
              <w:left w:val="nil"/>
              <w:bottom w:val="double" w:sz="6" w:space="0" w:color="auto"/>
              <w:right w:val="single" w:sz="4" w:space="0" w:color="auto"/>
            </w:tcBorders>
            <w:shd w:val="clear" w:color="auto" w:fill="auto"/>
            <w:noWrap/>
            <w:vAlign w:val="bottom"/>
            <w:hideMark/>
          </w:tcPr>
          <w:p w14:paraId="4F96B6F7" w14:textId="77777777" w:rsidR="00A4186E" w:rsidRPr="00A4186E" w:rsidRDefault="00A4186E" w:rsidP="00A4186E">
            <w:pPr>
              <w:ind w:right="0"/>
              <w:jc w:val="center"/>
              <w:rPr>
                <w:b/>
                <w:bCs/>
                <w:color w:val="000000"/>
                <w:sz w:val="20"/>
                <w:szCs w:val="20"/>
                <w:lang w:val="es-419" w:eastAsia="es-419"/>
              </w:rPr>
            </w:pPr>
            <w:r w:rsidRPr="00A4186E">
              <w:rPr>
                <w:b/>
                <w:bCs/>
                <w:color w:val="000000"/>
                <w:sz w:val="20"/>
                <w:szCs w:val="20"/>
                <w:lang w:val="es-419" w:eastAsia="es-419"/>
              </w:rPr>
              <w:t xml:space="preserve">          2 636 361 </w:t>
            </w:r>
          </w:p>
        </w:tc>
        <w:tc>
          <w:tcPr>
            <w:tcW w:w="1476" w:type="dxa"/>
            <w:tcBorders>
              <w:top w:val="nil"/>
              <w:left w:val="nil"/>
              <w:bottom w:val="double" w:sz="6" w:space="0" w:color="auto"/>
              <w:right w:val="single" w:sz="4" w:space="0" w:color="auto"/>
            </w:tcBorders>
            <w:shd w:val="clear" w:color="auto" w:fill="auto"/>
            <w:noWrap/>
            <w:vAlign w:val="bottom"/>
            <w:hideMark/>
          </w:tcPr>
          <w:p w14:paraId="63F5EE88" w14:textId="77777777" w:rsidR="00A4186E" w:rsidRPr="00A4186E" w:rsidRDefault="00A4186E" w:rsidP="00A4186E">
            <w:pPr>
              <w:ind w:right="0"/>
              <w:jc w:val="center"/>
              <w:rPr>
                <w:b/>
                <w:bCs/>
                <w:color w:val="000000"/>
                <w:sz w:val="20"/>
                <w:szCs w:val="20"/>
                <w:lang w:val="es-419" w:eastAsia="es-419"/>
              </w:rPr>
            </w:pPr>
            <w:r w:rsidRPr="00A4186E">
              <w:rPr>
                <w:b/>
                <w:bCs/>
                <w:color w:val="000000"/>
                <w:sz w:val="20"/>
                <w:szCs w:val="20"/>
                <w:lang w:val="es-419" w:eastAsia="es-419"/>
              </w:rPr>
              <w:t xml:space="preserve">          2 803 662 </w:t>
            </w:r>
          </w:p>
        </w:tc>
      </w:tr>
    </w:tbl>
    <w:p w14:paraId="74558666" w14:textId="77777777" w:rsidR="007176DE" w:rsidRDefault="007176DE" w:rsidP="00BA08EC">
      <w:pPr>
        <w:ind w:left="-540" w:right="-25"/>
        <w:jc w:val="center"/>
      </w:pPr>
    </w:p>
    <w:p w14:paraId="6C2637F5" w14:textId="77777777" w:rsidR="00A65F5F" w:rsidRPr="00670E95" w:rsidRDefault="00A65F5F" w:rsidP="00A65F5F">
      <w:pPr>
        <w:ind w:left="-540" w:right="-25"/>
      </w:pPr>
    </w:p>
    <w:p w14:paraId="113D931D" w14:textId="77777777" w:rsidR="00A65F5F" w:rsidRPr="00670E95" w:rsidRDefault="00A65F5F" w:rsidP="00A65F5F">
      <w:pPr>
        <w:ind w:left="-540" w:right="-25"/>
      </w:pPr>
      <w:r>
        <w:t>La estructura patrimonial del ICE no muestra capital social, solamente capital aportado debido a que el ICE es una entidad autónoma del Estado de Costa Rica</w:t>
      </w:r>
    </w:p>
    <w:p w14:paraId="0241829A" w14:textId="77777777" w:rsidR="00A65F5F" w:rsidRPr="00297C20" w:rsidRDefault="00A65F5F" w:rsidP="00EF0D70">
      <w:pPr>
        <w:pStyle w:val="Ttulo3"/>
        <w:numPr>
          <w:ilvl w:val="2"/>
          <w:numId w:val="26"/>
        </w:numPr>
        <w:ind w:left="-567" w:firstLine="0"/>
      </w:pPr>
      <w:bookmarkStart w:id="1449" w:name="_Toc226809068"/>
      <w:bookmarkStart w:id="1450" w:name="_Toc226809178"/>
      <w:bookmarkStart w:id="1451" w:name="_Toc226809289"/>
      <w:bookmarkStart w:id="1452" w:name="_Toc226809399"/>
      <w:bookmarkStart w:id="1453" w:name="_Toc226809509"/>
      <w:bookmarkStart w:id="1454" w:name="_Toc226809826"/>
      <w:bookmarkStart w:id="1455" w:name="_Toc226810073"/>
      <w:bookmarkStart w:id="1456" w:name="_Toc228013119"/>
      <w:bookmarkStart w:id="1457" w:name="_Toc228084813"/>
      <w:bookmarkStart w:id="1458" w:name="_Toc228087370"/>
      <w:bookmarkStart w:id="1459" w:name="_Toc228098609"/>
      <w:bookmarkStart w:id="1460" w:name="_Toc228696395"/>
      <w:bookmarkStart w:id="1461" w:name="_Toc229149156"/>
      <w:bookmarkStart w:id="1462" w:name="_Toc229149294"/>
      <w:bookmarkStart w:id="1463" w:name="_Toc229150112"/>
      <w:bookmarkStart w:id="1464" w:name="_Toc229150750"/>
      <w:bookmarkStart w:id="1465" w:name="_Toc231981194"/>
      <w:bookmarkStart w:id="1466" w:name="_Toc234672883"/>
      <w:bookmarkStart w:id="1467" w:name="_Toc234672993"/>
      <w:bookmarkStart w:id="1468" w:name="_Toc234673102"/>
      <w:bookmarkStart w:id="1469" w:name="_Toc234673211"/>
      <w:bookmarkStart w:id="1470" w:name="_Toc234673320"/>
      <w:bookmarkStart w:id="1471" w:name="_Toc234673539"/>
      <w:bookmarkStart w:id="1472" w:name="_Toc234673648"/>
      <w:bookmarkStart w:id="1473" w:name="_Toc234744062"/>
      <w:bookmarkStart w:id="1474" w:name="_Toc234744276"/>
      <w:bookmarkStart w:id="1475" w:name="_Toc234750706"/>
      <w:bookmarkStart w:id="1476" w:name="_Toc234750818"/>
      <w:bookmarkStart w:id="1477" w:name="_Toc234923910"/>
      <w:bookmarkStart w:id="1478" w:name="_Toc234925827"/>
      <w:bookmarkStart w:id="1479" w:name="_Toc235615258"/>
      <w:bookmarkStart w:id="1480" w:name="_Toc235616746"/>
      <w:bookmarkStart w:id="1481" w:name="_Toc235857002"/>
      <w:bookmarkStart w:id="1482" w:name="_Toc237334700"/>
      <w:bookmarkStart w:id="1483" w:name="_Toc237919653"/>
      <w:bookmarkStart w:id="1484" w:name="_Toc238276577"/>
      <w:bookmarkStart w:id="1485" w:name="_Toc238869520"/>
      <w:bookmarkStart w:id="1486" w:name="_Toc238873073"/>
      <w:bookmarkStart w:id="1487" w:name="_Toc238873446"/>
      <w:bookmarkStart w:id="1488" w:name="_Toc238876983"/>
      <w:bookmarkStart w:id="1489" w:name="_Toc240107351"/>
      <w:bookmarkStart w:id="1490" w:name="_Toc240159582"/>
      <w:bookmarkStart w:id="1491" w:name="_Toc240159734"/>
      <w:bookmarkStart w:id="1492" w:name="_Toc240255772"/>
      <w:bookmarkStart w:id="1493" w:name="_Toc240267676"/>
      <w:bookmarkStart w:id="1494" w:name="_Toc240267787"/>
      <w:bookmarkStart w:id="1495" w:name="_Toc240268180"/>
      <w:bookmarkStart w:id="1496" w:name="_Toc240268435"/>
      <w:bookmarkStart w:id="1497" w:name="_Toc240268548"/>
      <w:bookmarkStart w:id="1498" w:name="_Toc240268659"/>
      <w:bookmarkStart w:id="1499" w:name="_Toc240454250"/>
      <w:bookmarkStart w:id="1500" w:name="_Toc240697935"/>
      <w:bookmarkStart w:id="1501" w:name="_Toc258937737"/>
      <w:bookmarkStart w:id="1502" w:name="_Toc261418387"/>
      <w:bookmarkStart w:id="1503" w:name="_Toc261458571"/>
      <w:bookmarkStart w:id="1504" w:name="_Toc261458959"/>
      <w:bookmarkStart w:id="1505" w:name="_Toc262203281"/>
      <w:bookmarkStart w:id="1506" w:name="_Toc262218618"/>
      <w:bookmarkStart w:id="1507" w:name="_Toc262319074"/>
      <w:bookmarkStart w:id="1508" w:name="_Toc262458968"/>
      <w:bookmarkStart w:id="1509" w:name="_Toc262459822"/>
      <w:bookmarkStart w:id="1510" w:name="_Toc262460237"/>
      <w:bookmarkStart w:id="1511" w:name="_Toc262460364"/>
      <w:bookmarkStart w:id="1512" w:name="_Toc262460491"/>
      <w:bookmarkStart w:id="1513" w:name="_Toc262480987"/>
      <w:bookmarkStart w:id="1514" w:name="_Toc262483176"/>
      <w:bookmarkStart w:id="1515" w:name="_Toc262483311"/>
      <w:bookmarkStart w:id="1516" w:name="_Toc262483447"/>
      <w:bookmarkStart w:id="1517" w:name="_Toc262483583"/>
      <w:bookmarkStart w:id="1518" w:name="_Toc262483718"/>
      <w:bookmarkStart w:id="1519" w:name="_Toc262483853"/>
      <w:bookmarkStart w:id="1520" w:name="_Toc304736407"/>
      <w:bookmarkStart w:id="1521" w:name="_Toc304736641"/>
      <w:bookmarkStart w:id="1522" w:name="_Toc304736889"/>
      <w:bookmarkStart w:id="1523" w:name="_Toc304737195"/>
      <w:bookmarkStart w:id="1524" w:name="_Toc326700887"/>
      <w:bookmarkStart w:id="1525" w:name="_Toc326701525"/>
      <w:bookmarkStart w:id="1526" w:name="_Toc326730872"/>
      <w:bookmarkStart w:id="1527" w:name="_Toc326731058"/>
      <w:bookmarkStart w:id="1528" w:name="_Toc326731556"/>
      <w:bookmarkStart w:id="1529" w:name="_Toc326732468"/>
      <w:bookmarkStart w:id="1530" w:name="_Toc326734199"/>
      <w:bookmarkStart w:id="1531" w:name="_Toc326735148"/>
      <w:bookmarkStart w:id="1532" w:name="_Toc326735459"/>
      <w:bookmarkStart w:id="1533" w:name="_Toc343676030"/>
      <w:bookmarkStart w:id="1534" w:name="_Toc358619393"/>
      <w:bookmarkStart w:id="1535" w:name="_Toc358620658"/>
      <w:bookmarkStart w:id="1536" w:name="_Toc358621865"/>
      <w:bookmarkStart w:id="1537" w:name="_Toc358622842"/>
      <w:bookmarkStart w:id="1538" w:name="_Toc358622970"/>
      <w:bookmarkStart w:id="1539" w:name="_Toc390247900"/>
      <w:bookmarkStart w:id="1540" w:name="_Toc421258411"/>
      <w:bookmarkStart w:id="1541" w:name="_Toc421264479"/>
      <w:bookmarkStart w:id="1542" w:name="_Toc421264723"/>
      <w:bookmarkStart w:id="1543" w:name="_Toc421265038"/>
      <w:bookmarkStart w:id="1544" w:name="_Toc304737196"/>
      <w:bookmarkStart w:id="1545" w:name="_Toc343676031"/>
      <w:bookmarkStart w:id="1546" w:name="_Toc358619394"/>
      <w:bookmarkStart w:id="1547" w:name="_Toc358620659"/>
      <w:bookmarkStart w:id="1548" w:name="_Toc358621866"/>
      <w:bookmarkStart w:id="1549" w:name="_Toc358622843"/>
      <w:bookmarkStart w:id="1550" w:name="_Toc26357133"/>
      <w:bookmarkStart w:id="1551" w:name="_Toc138664922"/>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297C20">
        <w:t>Política de distribución de dividendos</w:t>
      </w:r>
      <w:bookmarkEnd w:id="1544"/>
      <w:bookmarkEnd w:id="1545"/>
      <w:bookmarkEnd w:id="1546"/>
      <w:bookmarkEnd w:id="1547"/>
      <w:bookmarkEnd w:id="1548"/>
      <w:bookmarkEnd w:id="1549"/>
      <w:bookmarkEnd w:id="1550"/>
      <w:bookmarkEnd w:id="1551"/>
    </w:p>
    <w:p w14:paraId="263BF0DD" w14:textId="77777777" w:rsidR="00A65F5F" w:rsidRPr="00297C20" w:rsidRDefault="00A65F5F" w:rsidP="00A65F5F">
      <w:pPr>
        <w:ind w:left="-540" w:right="-25"/>
      </w:pPr>
    </w:p>
    <w:p w14:paraId="64941A7D" w14:textId="77777777" w:rsidR="00A65F5F" w:rsidRDefault="00A65F5F" w:rsidP="00A65F5F">
      <w:pPr>
        <w:ind w:left="-540" w:right="-25"/>
      </w:pPr>
      <w:r w:rsidRPr="00297C20">
        <w:t xml:space="preserve">De conformidad con el artículo 17 del Decreto Ley 449 del 8 de abril de 1949 (ley de creación del ICE), el Instituto sigue la política de capitalizar en la Reserva de Desarrollo y en el Resultado de Inversión los excedentes anuales que obtenga de la venta de energía eléctrica y de cualquier otra fuente. Adicionalmente establece que el gobierno de Costa Rica no derivará ninguna parte de esos excedentes.  </w:t>
      </w:r>
    </w:p>
    <w:p w14:paraId="20C913D7" w14:textId="77777777" w:rsidR="00A65F5F" w:rsidRPr="009147BF" w:rsidRDefault="00A65F5F" w:rsidP="00EF0D70">
      <w:pPr>
        <w:pStyle w:val="Ttulo3"/>
        <w:numPr>
          <w:ilvl w:val="2"/>
          <w:numId w:val="27"/>
        </w:numPr>
        <w:ind w:left="-567" w:firstLine="0"/>
      </w:pPr>
      <w:bookmarkStart w:id="1552" w:name="_Toc304737197"/>
      <w:bookmarkStart w:id="1553" w:name="_Toc343676032"/>
      <w:bookmarkStart w:id="1554" w:name="_Toc358619395"/>
      <w:bookmarkStart w:id="1555" w:name="_Toc358620660"/>
      <w:bookmarkStart w:id="1556" w:name="_Toc358621867"/>
      <w:bookmarkStart w:id="1557" w:name="_Toc358622844"/>
      <w:bookmarkStart w:id="1558" w:name="_Toc26357134"/>
      <w:bookmarkStart w:id="1559" w:name="_Toc138664923"/>
      <w:r w:rsidRPr="009147BF">
        <w:t>Fuentes de capitalización</w:t>
      </w:r>
      <w:bookmarkEnd w:id="1552"/>
      <w:bookmarkEnd w:id="1553"/>
      <w:bookmarkEnd w:id="1554"/>
      <w:bookmarkEnd w:id="1555"/>
      <w:bookmarkEnd w:id="1556"/>
      <w:bookmarkEnd w:id="1557"/>
      <w:bookmarkEnd w:id="1558"/>
      <w:bookmarkEnd w:id="1559"/>
    </w:p>
    <w:p w14:paraId="5D0ADE32" w14:textId="77777777" w:rsidR="00A65F5F" w:rsidRDefault="00A65F5F" w:rsidP="00A65F5F">
      <w:pPr>
        <w:ind w:left="-540" w:right="-25"/>
        <w:jc w:val="center"/>
      </w:pPr>
    </w:p>
    <w:p w14:paraId="04FAFBC2" w14:textId="77777777" w:rsidR="00A65F5F" w:rsidRDefault="00A65F5F" w:rsidP="00A65F5F">
      <w:pPr>
        <w:ind w:left="-540" w:right="-25"/>
      </w:pPr>
      <w:r>
        <w:t>La Institución tiene como política capitalizar en su totalidad las  utilidades, según Decreto – Ley No. 449 del 8 de abril de 1949,  “Ley Constitutiva y otras disposiciones relativas al Instituto Costarricense de Electricidad”,  artículo 17º el cual indica:</w:t>
      </w:r>
    </w:p>
    <w:p w14:paraId="2B9901EB" w14:textId="77777777" w:rsidR="00A65F5F" w:rsidRDefault="00A65F5F" w:rsidP="00A65F5F">
      <w:pPr>
        <w:ind w:left="-540" w:right="-25"/>
      </w:pPr>
    </w:p>
    <w:p w14:paraId="27EB4FF1" w14:textId="77777777" w:rsidR="00A65F5F" w:rsidRPr="00670E95" w:rsidRDefault="00A65F5F" w:rsidP="00A65F5F">
      <w:pPr>
        <w:ind w:left="-540" w:right="-25"/>
      </w:pPr>
      <w:r>
        <w:t>“</w:t>
      </w:r>
      <w:r w:rsidRPr="00C9135E">
        <w:rPr>
          <w:i/>
        </w:rPr>
        <w:t>La política financiera del Instituto será la de capitalizar las utilidades netas que obtenga de la venta de energía eléctrica y de cualquier otra fuente que las tuviese, en la financiación y ejecución de los planes nacionales de Electrificación e impulso de la industria a base de la energía eléctrica</w:t>
      </w:r>
      <w:r>
        <w:t>.”</w:t>
      </w:r>
    </w:p>
    <w:p w14:paraId="0966938A" w14:textId="77777777" w:rsidR="00A65F5F" w:rsidRDefault="00A65F5F" w:rsidP="00A65F5F">
      <w:pPr>
        <w:ind w:left="-540" w:right="-25"/>
      </w:pPr>
    </w:p>
    <w:p w14:paraId="3F36D772" w14:textId="77777777" w:rsidR="00A65F5F" w:rsidRPr="00D36F8F" w:rsidRDefault="00A65F5F" w:rsidP="00EF0D70">
      <w:pPr>
        <w:pStyle w:val="Ttulo2"/>
        <w:numPr>
          <w:ilvl w:val="1"/>
          <w:numId w:val="58"/>
        </w:numPr>
      </w:pPr>
      <w:bookmarkStart w:id="1560" w:name="_Toc304737198"/>
      <w:bookmarkStart w:id="1561" w:name="_Toc343676033"/>
      <w:bookmarkStart w:id="1562" w:name="_Toc358619396"/>
      <w:bookmarkStart w:id="1563" w:name="_Toc358620661"/>
      <w:bookmarkStart w:id="1564" w:name="_Toc358621868"/>
      <w:bookmarkStart w:id="1565" w:name="_Toc358622845"/>
      <w:bookmarkStart w:id="1566" w:name="_Toc26357135"/>
      <w:bookmarkStart w:id="1567" w:name="_Toc138664924"/>
      <w:r w:rsidRPr="00D36F8F">
        <w:t>Exposición Cambiaria del ICE</w:t>
      </w:r>
      <w:bookmarkEnd w:id="1560"/>
      <w:bookmarkEnd w:id="1561"/>
      <w:bookmarkEnd w:id="1562"/>
      <w:bookmarkEnd w:id="1563"/>
      <w:bookmarkEnd w:id="1564"/>
      <w:bookmarkEnd w:id="1565"/>
      <w:bookmarkEnd w:id="1566"/>
      <w:r w:rsidR="004F7351">
        <w:t xml:space="preserve"> (en millones)</w:t>
      </w:r>
      <w:bookmarkEnd w:id="1567"/>
    </w:p>
    <w:p w14:paraId="35F400BD" w14:textId="77777777" w:rsidR="00A65F5F" w:rsidRDefault="00A65F5F" w:rsidP="00A65F5F">
      <w:pPr>
        <w:ind w:left="-540" w:right="-25"/>
      </w:pPr>
    </w:p>
    <w:p w14:paraId="6CCD21B5" w14:textId="77777777" w:rsidR="00A65F5F" w:rsidRDefault="00A65F5F" w:rsidP="00A65F5F">
      <w:pPr>
        <w:ind w:left="-540" w:right="-25"/>
      </w:pPr>
      <w:r>
        <w:t xml:space="preserve">En el </w:t>
      </w:r>
      <w:r w:rsidRPr="005C4F59">
        <w:t xml:space="preserve">siguiente cuadro se detalla la exposición cambiaria del ICE para los últimos </w:t>
      </w:r>
      <w:r>
        <w:t>2</w:t>
      </w:r>
      <w:r w:rsidRPr="005C4F59">
        <w:t xml:space="preserve"> periodos fiscales, por rubro de Activos y Pasivos.</w:t>
      </w:r>
      <w:r>
        <w:t xml:space="preserve"> </w:t>
      </w:r>
    </w:p>
    <w:p w14:paraId="14930ECC" w14:textId="77777777" w:rsidR="00A65F5F" w:rsidRDefault="00A65F5F" w:rsidP="00A65F5F">
      <w:pPr>
        <w:ind w:left="-540" w:right="-25"/>
        <w:jc w:val="center"/>
      </w:pPr>
    </w:p>
    <w:p w14:paraId="2D4843A0" w14:textId="77777777" w:rsidR="00390CE3" w:rsidRDefault="00390CE3" w:rsidP="00A65F5F">
      <w:pPr>
        <w:ind w:left="-540" w:right="-25"/>
        <w:jc w:val="center"/>
      </w:pPr>
    </w:p>
    <w:p w14:paraId="4EE7E7A4" w14:textId="77777777" w:rsidR="00390CE3" w:rsidRDefault="00390CE3" w:rsidP="00A65F5F">
      <w:pPr>
        <w:ind w:left="-540" w:right="-25"/>
        <w:jc w:val="center"/>
      </w:pPr>
    </w:p>
    <w:p w14:paraId="08D62ECC" w14:textId="77777777" w:rsidR="00390CE3" w:rsidRDefault="00390CE3" w:rsidP="00A65F5F">
      <w:pPr>
        <w:ind w:left="-540" w:right="-25"/>
        <w:jc w:val="center"/>
      </w:pPr>
    </w:p>
    <w:tbl>
      <w:tblPr>
        <w:tblW w:w="11559" w:type="dxa"/>
        <w:tblInd w:w="-1520" w:type="dxa"/>
        <w:tblCellMar>
          <w:left w:w="70" w:type="dxa"/>
          <w:right w:w="70" w:type="dxa"/>
        </w:tblCellMar>
        <w:tblLook w:val="04A0" w:firstRow="1" w:lastRow="0" w:firstColumn="1" w:lastColumn="0" w:noHBand="0" w:noVBand="1"/>
      </w:tblPr>
      <w:tblGrid>
        <w:gridCol w:w="4417"/>
        <w:gridCol w:w="1002"/>
        <w:gridCol w:w="195"/>
        <w:gridCol w:w="1002"/>
        <w:gridCol w:w="286"/>
        <w:gridCol w:w="1002"/>
        <w:gridCol w:w="195"/>
        <w:gridCol w:w="1002"/>
        <w:gridCol w:w="286"/>
        <w:gridCol w:w="1002"/>
        <w:gridCol w:w="195"/>
        <w:gridCol w:w="1002"/>
      </w:tblGrid>
      <w:tr w:rsidR="005975AA" w:rsidRPr="005975AA" w14:paraId="58023AC9" w14:textId="77777777" w:rsidTr="00390CE3">
        <w:trPr>
          <w:trHeight w:val="276"/>
        </w:trPr>
        <w:tc>
          <w:tcPr>
            <w:tcW w:w="4417" w:type="dxa"/>
            <w:tcBorders>
              <w:top w:val="nil"/>
              <w:left w:val="nil"/>
              <w:bottom w:val="nil"/>
              <w:right w:val="nil"/>
            </w:tcBorders>
            <w:shd w:val="clear" w:color="000000" w:fill="FFFFFF"/>
            <w:noWrap/>
            <w:vAlign w:val="center"/>
            <w:hideMark/>
          </w:tcPr>
          <w:p w14:paraId="42B967B3" w14:textId="77777777" w:rsidR="005975AA" w:rsidRPr="005975AA" w:rsidRDefault="005975AA" w:rsidP="005975AA">
            <w:pPr>
              <w:ind w:right="0" w:firstLineChars="200" w:firstLine="440"/>
              <w:jc w:val="left"/>
              <w:rPr>
                <w:color w:val="000000"/>
                <w:sz w:val="22"/>
                <w:szCs w:val="22"/>
                <w:lang w:val="es-419" w:eastAsia="es-419"/>
              </w:rPr>
            </w:pPr>
            <w:r w:rsidRPr="005975AA">
              <w:rPr>
                <w:color w:val="000000"/>
                <w:sz w:val="22"/>
                <w:szCs w:val="22"/>
                <w:lang w:val="es-419" w:eastAsia="es-419"/>
              </w:rPr>
              <w:t> </w:t>
            </w:r>
          </w:p>
        </w:tc>
        <w:tc>
          <w:tcPr>
            <w:tcW w:w="2190" w:type="dxa"/>
            <w:gridSpan w:val="3"/>
            <w:tcBorders>
              <w:top w:val="nil"/>
              <w:left w:val="nil"/>
              <w:bottom w:val="nil"/>
              <w:right w:val="nil"/>
            </w:tcBorders>
            <w:shd w:val="clear" w:color="000000" w:fill="FFFFFF"/>
            <w:noWrap/>
            <w:vAlign w:val="center"/>
            <w:hideMark/>
          </w:tcPr>
          <w:p w14:paraId="5DCC27AD"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US Dólares </w:t>
            </w:r>
          </w:p>
        </w:tc>
        <w:tc>
          <w:tcPr>
            <w:tcW w:w="286" w:type="dxa"/>
            <w:tcBorders>
              <w:top w:val="nil"/>
              <w:left w:val="nil"/>
              <w:bottom w:val="nil"/>
              <w:right w:val="nil"/>
            </w:tcBorders>
            <w:shd w:val="clear" w:color="000000" w:fill="FFFFFF"/>
            <w:noWrap/>
            <w:vAlign w:val="center"/>
            <w:hideMark/>
          </w:tcPr>
          <w:p w14:paraId="7C1AF607"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2190" w:type="dxa"/>
            <w:gridSpan w:val="3"/>
            <w:tcBorders>
              <w:top w:val="nil"/>
              <w:left w:val="nil"/>
              <w:bottom w:val="nil"/>
              <w:right w:val="nil"/>
            </w:tcBorders>
            <w:shd w:val="clear" w:color="000000" w:fill="FFFFFF"/>
            <w:noWrap/>
            <w:vAlign w:val="center"/>
            <w:hideMark/>
          </w:tcPr>
          <w:p w14:paraId="315D771C"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Yenes </w:t>
            </w:r>
          </w:p>
        </w:tc>
        <w:tc>
          <w:tcPr>
            <w:tcW w:w="286" w:type="dxa"/>
            <w:tcBorders>
              <w:top w:val="nil"/>
              <w:left w:val="nil"/>
              <w:bottom w:val="nil"/>
              <w:right w:val="nil"/>
            </w:tcBorders>
            <w:shd w:val="clear" w:color="000000" w:fill="FFFFFF"/>
            <w:noWrap/>
            <w:vAlign w:val="center"/>
            <w:hideMark/>
          </w:tcPr>
          <w:p w14:paraId="69AF3DB8"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2190" w:type="dxa"/>
            <w:gridSpan w:val="3"/>
            <w:tcBorders>
              <w:top w:val="nil"/>
              <w:left w:val="nil"/>
              <w:bottom w:val="nil"/>
              <w:right w:val="nil"/>
            </w:tcBorders>
            <w:shd w:val="clear" w:color="000000" w:fill="FFFFFF"/>
            <w:noWrap/>
            <w:vAlign w:val="center"/>
            <w:hideMark/>
          </w:tcPr>
          <w:p w14:paraId="02DF9FCD"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Euros </w:t>
            </w:r>
          </w:p>
        </w:tc>
      </w:tr>
      <w:tr w:rsidR="005975AA" w:rsidRPr="005975AA" w14:paraId="4969FA78" w14:textId="77777777" w:rsidTr="00390CE3">
        <w:trPr>
          <w:trHeight w:val="276"/>
        </w:trPr>
        <w:tc>
          <w:tcPr>
            <w:tcW w:w="4417" w:type="dxa"/>
            <w:tcBorders>
              <w:top w:val="nil"/>
              <w:left w:val="nil"/>
              <w:bottom w:val="nil"/>
              <w:right w:val="nil"/>
            </w:tcBorders>
            <w:shd w:val="clear" w:color="000000" w:fill="FFFFFF"/>
            <w:noWrap/>
            <w:vAlign w:val="center"/>
            <w:hideMark/>
          </w:tcPr>
          <w:p w14:paraId="68961D84" w14:textId="77777777" w:rsidR="005975AA" w:rsidRPr="005975AA" w:rsidRDefault="005975AA" w:rsidP="005975AA">
            <w:pPr>
              <w:ind w:right="0" w:firstLineChars="200" w:firstLine="440"/>
              <w:jc w:val="left"/>
              <w:rPr>
                <w:color w:val="000000"/>
                <w:sz w:val="22"/>
                <w:szCs w:val="22"/>
                <w:lang w:val="es-419" w:eastAsia="es-419"/>
              </w:rPr>
            </w:pPr>
            <w:r w:rsidRPr="005975AA">
              <w:rPr>
                <w:color w:val="000000"/>
                <w:sz w:val="22"/>
                <w:szCs w:val="22"/>
                <w:lang w:val="es-419" w:eastAsia="es-419"/>
              </w:rPr>
              <w:t> </w:t>
            </w:r>
          </w:p>
        </w:tc>
        <w:tc>
          <w:tcPr>
            <w:tcW w:w="2190" w:type="dxa"/>
            <w:gridSpan w:val="3"/>
            <w:tcBorders>
              <w:top w:val="nil"/>
              <w:left w:val="nil"/>
              <w:bottom w:val="single" w:sz="4" w:space="0" w:color="auto"/>
              <w:right w:val="nil"/>
            </w:tcBorders>
            <w:shd w:val="clear" w:color="000000" w:fill="FFFFFF"/>
            <w:noWrap/>
            <w:vAlign w:val="center"/>
            <w:hideMark/>
          </w:tcPr>
          <w:p w14:paraId="61F74265"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31 de diciembre de </w:t>
            </w:r>
          </w:p>
        </w:tc>
        <w:tc>
          <w:tcPr>
            <w:tcW w:w="286" w:type="dxa"/>
            <w:tcBorders>
              <w:top w:val="nil"/>
              <w:left w:val="nil"/>
              <w:bottom w:val="nil"/>
              <w:right w:val="nil"/>
            </w:tcBorders>
            <w:shd w:val="clear" w:color="000000" w:fill="FFFFFF"/>
            <w:noWrap/>
            <w:vAlign w:val="center"/>
            <w:hideMark/>
          </w:tcPr>
          <w:p w14:paraId="65BAF6AE"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2190" w:type="dxa"/>
            <w:gridSpan w:val="3"/>
            <w:tcBorders>
              <w:top w:val="nil"/>
              <w:left w:val="nil"/>
              <w:bottom w:val="single" w:sz="4" w:space="0" w:color="auto"/>
              <w:right w:val="nil"/>
            </w:tcBorders>
            <w:shd w:val="clear" w:color="000000" w:fill="FFFFFF"/>
            <w:noWrap/>
            <w:vAlign w:val="center"/>
            <w:hideMark/>
          </w:tcPr>
          <w:p w14:paraId="509650D2"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31 de diciembre de </w:t>
            </w:r>
          </w:p>
        </w:tc>
        <w:tc>
          <w:tcPr>
            <w:tcW w:w="286" w:type="dxa"/>
            <w:tcBorders>
              <w:top w:val="nil"/>
              <w:left w:val="nil"/>
              <w:bottom w:val="nil"/>
              <w:right w:val="nil"/>
            </w:tcBorders>
            <w:shd w:val="clear" w:color="000000" w:fill="FFFFFF"/>
            <w:noWrap/>
            <w:vAlign w:val="center"/>
            <w:hideMark/>
          </w:tcPr>
          <w:p w14:paraId="31A75970"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2190" w:type="dxa"/>
            <w:gridSpan w:val="3"/>
            <w:tcBorders>
              <w:top w:val="nil"/>
              <w:left w:val="nil"/>
              <w:bottom w:val="single" w:sz="4" w:space="0" w:color="auto"/>
              <w:right w:val="nil"/>
            </w:tcBorders>
            <w:shd w:val="clear" w:color="000000" w:fill="FFFFFF"/>
            <w:noWrap/>
            <w:vAlign w:val="center"/>
            <w:hideMark/>
          </w:tcPr>
          <w:p w14:paraId="7C1EECA9" w14:textId="77777777" w:rsidR="005975AA" w:rsidRPr="005975AA" w:rsidRDefault="005975AA" w:rsidP="005975AA">
            <w:pPr>
              <w:ind w:right="0"/>
              <w:jc w:val="center"/>
              <w:rPr>
                <w:sz w:val="22"/>
                <w:szCs w:val="22"/>
                <w:lang w:val="es-419" w:eastAsia="es-419"/>
              </w:rPr>
            </w:pPr>
            <w:r w:rsidRPr="005975AA">
              <w:rPr>
                <w:sz w:val="22"/>
                <w:szCs w:val="22"/>
                <w:lang w:val="es-419" w:eastAsia="es-419"/>
              </w:rPr>
              <w:t xml:space="preserve"> 31 de diciembre de </w:t>
            </w:r>
          </w:p>
        </w:tc>
      </w:tr>
      <w:tr w:rsidR="00390CE3" w:rsidRPr="005975AA" w14:paraId="735503B9" w14:textId="77777777" w:rsidTr="00390CE3">
        <w:trPr>
          <w:trHeight w:val="276"/>
        </w:trPr>
        <w:tc>
          <w:tcPr>
            <w:tcW w:w="4417" w:type="dxa"/>
            <w:tcBorders>
              <w:top w:val="nil"/>
              <w:left w:val="nil"/>
              <w:bottom w:val="nil"/>
              <w:right w:val="nil"/>
            </w:tcBorders>
            <w:shd w:val="clear" w:color="000000" w:fill="FFFFFF"/>
            <w:noWrap/>
            <w:vAlign w:val="center"/>
            <w:hideMark/>
          </w:tcPr>
          <w:p w14:paraId="01BA96CE" w14:textId="77777777" w:rsidR="005975AA" w:rsidRPr="005975AA" w:rsidRDefault="005975AA" w:rsidP="005975AA">
            <w:pPr>
              <w:ind w:right="0"/>
              <w:jc w:val="center"/>
              <w:rPr>
                <w:i/>
                <w:iCs/>
                <w:color w:val="000000"/>
                <w:sz w:val="22"/>
                <w:szCs w:val="22"/>
                <w:lang w:val="es-419" w:eastAsia="es-419"/>
              </w:rPr>
            </w:pPr>
            <w:r w:rsidRPr="005975AA">
              <w:rPr>
                <w:i/>
                <w:iCs/>
                <w:color w:val="000000"/>
                <w:sz w:val="22"/>
                <w:szCs w:val="22"/>
                <w:lang w:val="es-419" w:eastAsia="es-419"/>
              </w:rPr>
              <w:t>(Cifras expresadas en millones)</w:t>
            </w:r>
          </w:p>
        </w:tc>
        <w:tc>
          <w:tcPr>
            <w:tcW w:w="1002" w:type="dxa"/>
            <w:tcBorders>
              <w:top w:val="nil"/>
              <w:left w:val="nil"/>
              <w:bottom w:val="single" w:sz="4" w:space="0" w:color="auto"/>
              <w:right w:val="nil"/>
            </w:tcBorders>
            <w:shd w:val="clear" w:color="000000" w:fill="FFFFFF"/>
            <w:noWrap/>
            <w:vAlign w:val="center"/>
            <w:hideMark/>
          </w:tcPr>
          <w:p w14:paraId="6E37FBB4"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2022</w:t>
            </w:r>
          </w:p>
        </w:tc>
        <w:tc>
          <w:tcPr>
            <w:tcW w:w="186" w:type="dxa"/>
            <w:tcBorders>
              <w:top w:val="nil"/>
              <w:left w:val="nil"/>
              <w:bottom w:val="nil"/>
              <w:right w:val="nil"/>
            </w:tcBorders>
            <w:shd w:val="clear" w:color="000000" w:fill="FFFFFF"/>
            <w:noWrap/>
            <w:vAlign w:val="center"/>
            <w:hideMark/>
          </w:tcPr>
          <w:p w14:paraId="74C0224C"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1002" w:type="dxa"/>
            <w:tcBorders>
              <w:top w:val="nil"/>
              <w:left w:val="nil"/>
              <w:bottom w:val="single" w:sz="4" w:space="0" w:color="auto"/>
              <w:right w:val="nil"/>
            </w:tcBorders>
            <w:shd w:val="clear" w:color="000000" w:fill="FFFFFF"/>
            <w:noWrap/>
            <w:vAlign w:val="center"/>
            <w:hideMark/>
          </w:tcPr>
          <w:p w14:paraId="09F0C2C3"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2021</w:t>
            </w:r>
          </w:p>
        </w:tc>
        <w:tc>
          <w:tcPr>
            <w:tcW w:w="286" w:type="dxa"/>
            <w:tcBorders>
              <w:top w:val="nil"/>
              <w:left w:val="nil"/>
              <w:bottom w:val="nil"/>
              <w:right w:val="nil"/>
            </w:tcBorders>
            <w:shd w:val="clear" w:color="000000" w:fill="FFFFFF"/>
            <w:noWrap/>
            <w:vAlign w:val="center"/>
            <w:hideMark/>
          </w:tcPr>
          <w:p w14:paraId="746C5DC5"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1002" w:type="dxa"/>
            <w:tcBorders>
              <w:top w:val="nil"/>
              <w:left w:val="nil"/>
              <w:bottom w:val="single" w:sz="4" w:space="0" w:color="auto"/>
              <w:right w:val="nil"/>
            </w:tcBorders>
            <w:shd w:val="clear" w:color="000000" w:fill="FFFFFF"/>
            <w:noWrap/>
            <w:vAlign w:val="center"/>
            <w:hideMark/>
          </w:tcPr>
          <w:p w14:paraId="7C5651D6"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2022</w:t>
            </w:r>
          </w:p>
        </w:tc>
        <w:tc>
          <w:tcPr>
            <w:tcW w:w="186" w:type="dxa"/>
            <w:tcBorders>
              <w:top w:val="nil"/>
              <w:left w:val="nil"/>
              <w:bottom w:val="nil"/>
              <w:right w:val="nil"/>
            </w:tcBorders>
            <w:shd w:val="clear" w:color="000000" w:fill="FFFFFF"/>
            <w:noWrap/>
            <w:vAlign w:val="center"/>
            <w:hideMark/>
          </w:tcPr>
          <w:p w14:paraId="168E87F0"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1002" w:type="dxa"/>
            <w:tcBorders>
              <w:top w:val="nil"/>
              <w:left w:val="nil"/>
              <w:bottom w:val="single" w:sz="4" w:space="0" w:color="auto"/>
              <w:right w:val="nil"/>
            </w:tcBorders>
            <w:shd w:val="clear" w:color="000000" w:fill="FFFFFF"/>
            <w:noWrap/>
            <w:vAlign w:val="center"/>
            <w:hideMark/>
          </w:tcPr>
          <w:p w14:paraId="7501CC24"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2021</w:t>
            </w:r>
          </w:p>
        </w:tc>
        <w:tc>
          <w:tcPr>
            <w:tcW w:w="286" w:type="dxa"/>
            <w:tcBorders>
              <w:top w:val="nil"/>
              <w:left w:val="nil"/>
              <w:bottom w:val="nil"/>
              <w:right w:val="nil"/>
            </w:tcBorders>
            <w:shd w:val="clear" w:color="000000" w:fill="FFFFFF"/>
            <w:noWrap/>
            <w:vAlign w:val="center"/>
            <w:hideMark/>
          </w:tcPr>
          <w:p w14:paraId="610165A1"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1002" w:type="dxa"/>
            <w:tcBorders>
              <w:top w:val="nil"/>
              <w:left w:val="nil"/>
              <w:bottom w:val="single" w:sz="4" w:space="0" w:color="auto"/>
              <w:right w:val="nil"/>
            </w:tcBorders>
            <w:shd w:val="clear" w:color="000000" w:fill="FFFFFF"/>
            <w:noWrap/>
            <w:vAlign w:val="center"/>
            <w:hideMark/>
          </w:tcPr>
          <w:p w14:paraId="0DA4C8B4"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2022</w:t>
            </w:r>
          </w:p>
        </w:tc>
        <w:tc>
          <w:tcPr>
            <w:tcW w:w="186" w:type="dxa"/>
            <w:tcBorders>
              <w:top w:val="nil"/>
              <w:left w:val="nil"/>
              <w:bottom w:val="nil"/>
              <w:right w:val="nil"/>
            </w:tcBorders>
            <w:shd w:val="clear" w:color="000000" w:fill="FFFFFF"/>
            <w:noWrap/>
            <w:vAlign w:val="center"/>
            <w:hideMark/>
          </w:tcPr>
          <w:p w14:paraId="05B4547F" w14:textId="77777777" w:rsidR="005975AA" w:rsidRPr="005975AA" w:rsidRDefault="005975AA" w:rsidP="005975AA">
            <w:pPr>
              <w:ind w:right="0"/>
              <w:jc w:val="center"/>
              <w:rPr>
                <w:sz w:val="22"/>
                <w:szCs w:val="22"/>
                <w:lang w:val="es-419" w:eastAsia="es-419"/>
              </w:rPr>
            </w:pPr>
            <w:r w:rsidRPr="005975AA">
              <w:rPr>
                <w:sz w:val="22"/>
                <w:szCs w:val="22"/>
                <w:lang w:val="es-419" w:eastAsia="es-419"/>
              </w:rPr>
              <w:t> </w:t>
            </w:r>
          </w:p>
        </w:tc>
        <w:tc>
          <w:tcPr>
            <w:tcW w:w="1002" w:type="dxa"/>
            <w:tcBorders>
              <w:top w:val="nil"/>
              <w:left w:val="nil"/>
              <w:bottom w:val="single" w:sz="4" w:space="0" w:color="auto"/>
              <w:right w:val="nil"/>
            </w:tcBorders>
            <w:shd w:val="clear" w:color="000000" w:fill="FFFFFF"/>
            <w:noWrap/>
            <w:vAlign w:val="center"/>
            <w:hideMark/>
          </w:tcPr>
          <w:p w14:paraId="721A3AF7" w14:textId="77777777" w:rsidR="005975AA" w:rsidRPr="005975AA" w:rsidRDefault="005975AA" w:rsidP="005975AA">
            <w:pPr>
              <w:ind w:right="0"/>
              <w:jc w:val="center"/>
              <w:rPr>
                <w:sz w:val="22"/>
                <w:szCs w:val="22"/>
                <w:lang w:val="es-419" w:eastAsia="es-419"/>
              </w:rPr>
            </w:pPr>
            <w:r w:rsidRPr="005975AA">
              <w:rPr>
                <w:sz w:val="22"/>
                <w:szCs w:val="22"/>
                <w:lang w:val="es-419" w:eastAsia="es-419"/>
              </w:rPr>
              <w:t>2021</w:t>
            </w:r>
          </w:p>
        </w:tc>
      </w:tr>
      <w:tr w:rsidR="00390CE3" w:rsidRPr="005975AA" w14:paraId="2751FFA7" w14:textId="77777777" w:rsidTr="00390CE3">
        <w:trPr>
          <w:trHeight w:val="276"/>
        </w:trPr>
        <w:tc>
          <w:tcPr>
            <w:tcW w:w="4417" w:type="dxa"/>
            <w:tcBorders>
              <w:top w:val="nil"/>
              <w:left w:val="nil"/>
              <w:bottom w:val="nil"/>
              <w:right w:val="nil"/>
            </w:tcBorders>
            <w:shd w:val="clear" w:color="000000" w:fill="FFFFFF"/>
            <w:noWrap/>
            <w:vAlign w:val="center"/>
            <w:hideMark/>
          </w:tcPr>
          <w:p w14:paraId="1F7CC2ED" w14:textId="77777777" w:rsidR="005975AA" w:rsidRPr="005975AA" w:rsidRDefault="005975AA" w:rsidP="005975AA">
            <w:pPr>
              <w:ind w:right="0"/>
              <w:jc w:val="left"/>
              <w:rPr>
                <w:color w:val="000000"/>
                <w:sz w:val="22"/>
                <w:szCs w:val="22"/>
                <w:u w:val="single"/>
                <w:lang w:val="es-419" w:eastAsia="es-419"/>
              </w:rPr>
            </w:pPr>
            <w:r w:rsidRPr="005975AA">
              <w:rPr>
                <w:color w:val="000000"/>
                <w:sz w:val="22"/>
                <w:szCs w:val="22"/>
                <w:u w:val="single"/>
                <w:lang w:val="es-419" w:eastAsia="es-419"/>
              </w:rPr>
              <w:t>Activo</w:t>
            </w:r>
          </w:p>
        </w:tc>
        <w:tc>
          <w:tcPr>
            <w:tcW w:w="1002" w:type="dxa"/>
            <w:tcBorders>
              <w:top w:val="nil"/>
              <w:left w:val="nil"/>
              <w:bottom w:val="nil"/>
              <w:right w:val="nil"/>
            </w:tcBorders>
            <w:shd w:val="clear" w:color="000000" w:fill="FFFFFF"/>
            <w:noWrap/>
            <w:vAlign w:val="center"/>
            <w:hideMark/>
          </w:tcPr>
          <w:p w14:paraId="104EB52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36891FDE"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45985B0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286" w:type="dxa"/>
            <w:tcBorders>
              <w:top w:val="nil"/>
              <w:left w:val="nil"/>
              <w:bottom w:val="nil"/>
              <w:right w:val="nil"/>
            </w:tcBorders>
            <w:shd w:val="clear" w:color="000000" w:fill="FFFFFF"/>
            <w:noWrap/>
            <w:vAlign w:val="center"/>
            <w:hideMark/>
          </w:tcPr>
          <w:p w14:paraId="00E9953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1C0DCE6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58B4D99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2D0CE28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286" w:type="dxa"/>
            <w:tcBorders>
              <w:top w:val="nil"/>
              <w:left w:val="nil"/>
              <w:bottom w:val="nil"/>
              <w:right w:val="nil"/>
            </w:tcBorders>
            <w:shd w:val="clear" w:color="000000" w:fill="FFFFFF"/>
            <w:noWrap/>
            <w:vAlign w:val="center"/>
            <w:hideMark/>
          </w:tcPr>
          <w:p w14:paraId="625AC3F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4F1C7E5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1326F45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5878A4AA"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w:t>
            </w:r>
          </w:p>
        </w:tc>
      </w:tr>
      <w:tr w:rsidR="005975AA" w:rsidRPr="005975AA" w14:paraId="69EAA754" w14:textId="77777777" w:rsidTr="00390CE3">
        <w:trPr>
          <w:trHeight w:val="276"/>
        </w:trPr>
        <w:tc>
          <w:tcPr>
            <w:tcW w:w="4417" w:type="dxa"/>
            <w:tcBorders>
              <w:top w:val="nil"/>
              <w:left w:val="nil"/>
              <w:bottom w:val="nil"/>
              <w:right w:val="nil"/>
            </w:tcBorders>
            <w:shd w:val="clear" w:color="000000" w:fill="FFFFFF"/>
            <w:noWrap/>
            <w:vAlign w:val="center"/>
            <w:hideMark/>
          </w:tcPr>
          <w:p w14:paraId="0FC960BE"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Inversiones en instrumentos financieros</w:t>
            </w:r>
          </w:p>
        </w:tc>
        <w:tc>
          <w:tcPr>
            <w:tcW w:w="1002" w:type="dxa"/>
            <w:tcBorders>
              <w:top w:val="nil"/>
              <w:left w:val="nil"/>
              <w:bottom w:val="nil"/>
              <w:right w:val="nil"/>
            </w:tcBorders>
            <w:shd w:val="clear" w:color="auto" w:fill="auto"/>
            <w:vAlign w:val="bottom"/>
            <w:hideMark/>
          </w:tcPr>
          <w:p w14:paraId="3B911FE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201 </w:t>
            </w:r>
          </w:p>
        </w:tc>
        <w:tc>
          <w:tcPr>
            <w:tcW w:w="186" w:type="dxa"/>
            <w:tcBorders>
              <w:top w:val="nil"/>
              <w:left w:val="nil"/>
              <w:bottom w:val="nil"/>
              <w:right w:val="nil"/>
            </w:tcBorders>
            <w:shd w:val="clear" w:color="000000" w:fill="FFFFFF"/>
            <w:noWrap/>
            <w:vAlign w:val="center"/>
            <w:hideMark/>
          </w:tcPr>
          <w:p w14:paraId="4981DAAD"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15AEFF0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166 </w:t>
            </w:r>
          </w:p>
        </w:tc>
        <w:tc>
          <w:tcPr>
            <w:tcW w:w="286" w:type="dxa"/>
            <w:tcBorders>
              <w:top w:val="nil"/>
              <w:left w:val="nil"/>
              <w:bottom w:val="nil"/>
              <w:right w:val="nil"/>
            </w:tcBorders>
            <w:shd w:val="clear" w:color="000000" w:fill="FFFFFF"/>
            <w:noWrap/>
            <w:vAlign w:val="center"/>
            <w:hideMark/>
          </w:tcPr>
          <w:p w14:paraId="757B9E9D"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2280E7C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4648386C"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5BA9687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0D1A7AC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BE4BEF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217EFD0C"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FBE7DBE"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081ECCC5" w14:textId="77777777" w:rsidTr="00390CE3">
        <w:trPr>
          <w:trHeight w:val="276"/>
        </w:trPr>
        <w:tc>
          <w:tcPr>
            <w:tcW w:w="4417" w:type="dxa"/>
            <w:tcBorders>
              <w:top w:val="nil"/>
              <w:left w:val="nil"/>
              <w:bottom w:val="nil"/>
              <w:right w:val="nil"/>
            </w:tcBorders>
            <w:shd w:val="clear" w:color="000000" w:fill="FFFFFF"/>
            <w:noWrap/>
            <w:vAlign w:val="center"/>
            <w:hideMark/>
          </w:tcPr>
          <w:p w14:paraId="6A224264"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Efectos y otras cuentas por cobrar</w:t>
            </w:r>
          </w:p>
        </w:tc>
        <w:tc>
          <w:tcPr>
            <w:tcW w:w="1002" w:type="dxa"/>
            <w:tcBorders>
              <w:top w:val="nil"/>
              <w:left w:val="nil"/>
              <w:bottom w:val="nil"/>
              <w:right w:val="nil"/>
            </w:tcBorders>
            <w:shd w:val="clear" w:color="auto" w:fill="auto"/>
            <w:vAlign w:val="bottom"/>
            <w:hideMark/>
          </w:tcPr>
          <w:p w14:paraId="3F59E05A"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22 </w:t>
            </w:r>
          </w:p>
        </w:tc>
        <w:tc>
          <w:tcPr>
            <w:tcW w:w="186" w:type="dxa"/>
            <w:tcBorders>
              <w:top w:val="nil"/>
              <w:left w:val="nil"/>
              <w:bottom w:val="nil"/>
              <w:right w:val="nil"/>
            </w:tcBorders>
            <w:shd w:val="clear" w:color="000000" w:fill="FFFFFF"/>
            <w:noWrap/>
            <w:vAlign w:val="center"/>
            <w:hideMark/>
          </w:tcPr>
          <w:p w14:paraId="7600B75B"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1487160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13 </w:t>
            </w:r>
          </w:p>
        </w:tc>
        <w:tc>
          <w:tcPr>
            <w:tcW w:w="286" w:type="dxa"/>
            <w:tcBorders>
              <w:top w:val="nil"/>
              <w:left w:val="nil"/>
              <w:bottom w:val="nil"/>
              <w:right w:val="nil"/>
            </w:tcBorders>
            <w:shd w:val="clear" w:color="000000" w:fill="FFFFFF"/>
            <w:noWrap/>
            <w:vAlign w:val="center"/>
            <w:hideMark/>
          </w:tcPr>
          <w:p w14:paraId="1D649051"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36012661"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652A1E7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BE0BE0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17E644B2"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77E61EB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5234C88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DFD43C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EBA25D1" w14:textId="77777777" w:rsidTr="00390CE3">
        <w:trPr>
          <w:trHeight w:val="276"/>
        </w:trPr>
        <w:tc>
          <w:tcPr>
            <w:tcW w:w="4417" w:type="dxa"/>
            <w:tcBorders>
              <w:top w:val="nil"/>
              <w:left w:val="nil"/>
              <w:bottom w:val="nil"/>
              <w:right w:val="nil"/>
            </w:tcBorders>
            <w:shd w:val="clear" w:color="000000" w:fill="FFFFFF"/>
            <w:noWrap/>
            <w:vAlign w:val="center"/>
            <w:hideMark/>
          </w:tcPr>
          <w:p w14:paraId="20A24502"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Efectivo y equivalentes de efectivo</w:t>
            </w:r>
          </w:p>
        </w:tc>
        <w:tc>
          <w:tcPr>
            <w:tcW w:w="1002" w:type="dxa"/>
            <w:tcBorders>
              <w:top w:val="nil"/>
              <w:left w:val="nil"/>
              <w:bottom w:val="nil"/>
              <w:right w:val="nil"/>
            </w:tcBorders>
            <w:shd w:val="clear" w:color="auto" w:fill="auto"/>
            <w:vAlign w:val="bottom"/>
            <w:hideMark/>
          </w:tcPr>
          <w:p w14:paraId="0C3E345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240 </w:t>
            </w:r>
          </w:p>
        </w:tc>
        <w:tc>
          <w:tcPr>
            <w:tcW w:w="186" w:type="dxa"/>
            <w:tcBorders>
              <w:top w:val="nil"/>
              <w:left w:val="nil"/>
              <w:bottom w:val="nil"/>
              <w:right w:val="nil"/>
            </w:tcBorders>
            <w:shd w:val="clear" w:color="000000" w:fill="FFFFFF"/>
            <w:noWrap/>
            <w:vAlign w:val="center"/>
            <w:hideMark/>
          </w:tcPr>
          <w:p w14:paraId="496AECE9"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260F716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150 </w:t>
            </w:r>
          </w:p>
        </w:tc>
        <w:tc>
          <w:tcPr>
            <w:tcW w:w="286" w:type="dxa"/>
            <w:tcBorders>
              <w:top w:val="nil"/>
              <w:left w:val="nil"/>
              <w:bottom w:val="nil"/>
              <w:right w:val="nil"/>
            </w:tcBorders>
            <w:shd w:val="clear" w:color="000000" w:fill="FFFFFF"/>
            <w:noWrap/>
            <w:vAlign w:val="center"/>
            <w:hideMark/>
          </w:tcPr>
          <w:p w14:paraId="397F20B7"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5D16D63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5024A54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28E4FEC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740E6F9B"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8DC754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6C8D3608"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05EC50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ABDD2C6" w14:textId="77777777" w:rsidTr="00390CE3">
        <w:trPr>
          <w:trHeight w:val="276"/>
        </w:trPr>
        <w:tc>
          <w:tcPr>
            <w:tcW w:w="4417" w:type="dxa"/>
            <w:tcBorders>
              <w:top w:val="nil"/>
              <w:left w:val="nil"/>
              <w:bottom w:val="nil"/>
              <w:right w:val="nil"/>
            </w:tcBorders>
            <w:shd w:val="clear" w:color="000000" w:fill="FFFFFF"/>
            <w:noWrap/>
            <w:vAlign w:val="center"/>
            <w:hideMark/>
          </w:tcPr>
          <w:p w14:paraId="56498F34"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Cuentas por cobrar comerciales, neto</w:t>
            </w:r>
          </w:p>
        </w:tc>
        <w:tc>
          <w:tcPr>
            <w:tcW w:w="1002" w:type="dxa"/>
            <w:tcBorders>
              <w:top w:val="nil"/>
              <w:left w:val="nil"/>
              <w:bottom w:val="nil"/>
              <w:right w:val="nil"/>
            </w:tcBorders>
            <w:shd w:val="clear" w:color="auto" w:fill="auto"/>
            <w:vAlign w:val="bottom"/>
            <w:hideMark/>
          </w:tcPr>
          <w:p w14:paraId="5F07A2A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 </w:t>
            </w:r>
          </w:p>
        </w:tc>
        <w:tc>
          <w:tcPr>
            <w:tcW w:w="186" w:type="dxa"/>
            <w:tcBorders>
              <w:top w:val="nil"/>
              <w:left w:val="nil"/>
              <w:bottom w:val="nil"/>
              <w:right w:val="nil"/>
            </w:tcBorders>
            <w:shd w:val="clear" w:color="000000" w:fill="FFFFFF"/>
            <w:noWrap/>
            <w:vAlign w:val="center"/>
            <w:hideMark/>
          </w:tcPr>
          <w:p w14:paraId="42F85FB9"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4D7D21B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17 </w:t>
            </w:r>
          </w:p>
        </w:tc>
        <w:tc>
          <w:tcPr>
            <w:tcW w:w="286" w:type="dxa"/>
            <w:tcBorders>
              <w:top w:val="nil"/>
              <w:left w:val="nil"/>
              <w:bottom w:val="nil"/>
              <w:right w:val="nil"/>
            </w:tcBorders>
            <w:shd w:val="clear" w:color="000000" w:fill="FFFFFF"/>
            <w:noWrap/>
            <w:vAlign w:val="center"/>
            <w:hideMark/>
          </w:tcPr>
          <w:p w14:paraId="548407DB"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682E3F3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513CE97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28D5600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1CD2F385"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3D5078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7E8E106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2B17CA6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BFBC70A" w14:textId="77777777" w:rsidTr="00390CE3">
        <w:trPr>
          <w:trHeight w:val="276"/>
        </w:trPr>
        <w:tc>
          <w:tcPr>
            <w:tcW w:w="4417" w:type="dxa"/>
            <w:tcBorders>
              <w:top w:val="nil"/>
              <w:left w:val="nil"/>
              <w:bottom w:val="nil"/>
              <w:right w:val="nil"/>
            </w:tcBorders>
            <w:shd w:val="clear" w:color="000000" w:fill="FFFFFF"/>
            <w:noWrap/>
            <w:vAlign w:val="center"/>
            <w:hideMark/>
          </w:tcPr>
          <w:p w14:paraId="6F4BD696"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4B741E7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464 </w:t>
            </w:r>
          </w:p>
        </w:tc>
        <w:tc>
          <w:tcPr>
            <w:tcW w:w="186" w:type="dxa"/>
            <w:tcBorders>
              <w:top w:val="nil"/>
              <w:left w:val="nil"/>
              <w:bottom w:val="nil"/>
              <w:right w:val="nil"/>
            </w:tcBorders>
            <w:shd w:val="clear" w:color="000000" w:fill="FFFFFF"/>
            <w:noWrap/>
            <w:vAlign w:val="center"/>
            <w:hideMark/>
          </w:tcPr>
          <w:p w14:paraId="40C1C3AD"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647C94C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346 </w:t>
            </w:r>
          </w:p>
        </w:tc>
        <w:tc>
          <w:tcPr>
            <w:tcW w:w="286" w:type="dxa"/>
            <w:tcBorders>
              <w:top w:val="nil"/>
              <w:left w:val="nil"/>
              <w:bottom w:val="nil"/>
              <w:right w:val="nil"/>
            </w:tcBorders>
            <w:shd w:val="clear" w:color="000000" w:fill="FFFFFF"/>
            <w:noWrap/>
            <w:vAlign w:val="center"/>
            <w:hideMark/>
          </w:tcPr>
          <w:p w14:paraId="1A642A00"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0FAC131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center"/>
            <w:hideMark/>
          </w:tcPr>
          <w:p w14:paraId="576487E8"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46BEBE7A"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center"/>
            <w:hideMark/>
          </w:tcPr>
          <w:p w14:paraId="1E9E171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31E81C0E"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center"/>
            <w:hideMark/>
          </w:tcPr>
          <w:p w14:paraId="30890AFF"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14779E2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390CE3" w:rsidRPr="005975AA" w14:paraId="11EA8BC8" w14:textId="77777777" w:rsidTr="00390CE3">
        <w:trPr>
          <w:trHeight w:val="276"/>
        </w:trPr>
        <w:tc>
          <w:tcPr>
            <w:tcW w:w="4417" w:type="dxa"/>
            <w:tcBorders>
              <w:top w:val="nil"/>
              <w:left w:val="nil"/>
              <w:bottom w:val="nil"/>
              <w:right w:val="nil"/>
            </w:tcBorders>
            <w:shd w:val="clear" w:color="000000" w:fill="FFFFFF"/>
            <w:noWrap/>
            <w:vAlign w:val="center"/>
            <w:hideMark/>
          </w:tcPr>
          <w:p w14:paraId="150FA84C" w14:textId="77777777" w:rsidR="005975AA" w:rsidRPr="005975AA" w:rsidRDefault="005975AA" w:rsidP="005975AA">
            <w:pPr>
              <w:ind w:right="0"/>
              <w:jc w:val="left"/>
              <w:rPr>
                <w:color w:val="000000"/>
                <w:sz w:val="22"/>
                <w:szCs w:val="22"/>
                <w:u w:val="single"/>
                <w:lang w:val="es-419" w:eastAsia="es-419"/>
              </w:rPr>
            </w:pPr>
            <w:r w:rsidRPr="005975AA">
              <w:rPr>
                <w:color w:val="000000"/>
                <w:sz w:val="22"/>
                <w:szCs w:val="22"/>
                <w:u w:val="single"/>
                <w:lang w:val="es-419" w:eastAsia="es-419"/>
              </w:rPr>
              <w:t>Pasivo</w:t>
            </w:r>
          </w:p>
        </w:tc>
        <w:tc>
          <w:tcPr>
            <w:tcW w:w="1002" w:type="dxa"/>
            <w:tcBorders>
              <w:top w:val="nil"/>
              <w:left w:val="nil"/>
              <w:bottom w:val="nil"/>
              <w:right w:val="nil"/>
            </w:tcBorders>
            <w:shd w:val="clear" w:color="000000" w:fill="FFFFFF"/>
            <w:noWrap/>
            <w:vAlign w:val="center"/>
            <w:hideMark/>
          </w:tcPr>
          <w:p w14:paraId="14B82109"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76D81D4C"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5BE8F44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286" w:type="dxa"/>
            <w:tcBorders>
              <w:top w:val="nil"/>
              <w:left w:val="nil"/>
              <w:bottom w:val="nil"/>
              <w:right w:val="nil"/>
            </w:tcBorders>
            <w:shd w:val="clear" w:color="000000" w:fill="FFFFFF"/>
            <w:noWrap/>
            <w:vAlign w:val="center"/>
            <w:hideMark/>
          </w:tcPr>
          <w:p w14:paraId="12F12C61"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49404920"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424219D5"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7CE5C59C"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286" w:type="dxa"/>
            <w:tcBorders>
              <w:top w:val="nil"/>
              <w:left w:val="nil"/>
              <w:bottom w:val="nil"/>
              <w:right w:val="nil"/>
            </w:tcBorders>
            <w:shd w:val="clear" w:color="000000" w:fill="FFFFFF"/>
            <w:noWrap/>
            <w:vAlign w:val="center"/>
            <w:hideMark/>
          </w:tcPr>
          <w:p w14:paraId="15DAEB95"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0A8C7AFD"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86" w:type="dxa"/>
            <w:tcBorders>
              <w:top w:val="nil"/>
              <w:left w:val="nil"/>
              <w:bottom w:val="nil"/>
              <w:right w:val="nil"/>
            </w:tcBorders>
            <w:shd w:val="clear" w:color="000000" w:fill="FFFFFF"/>
            <w:noWrap/>
            <w:vAlign w:val="center"/>
            <w:hideMark/>
          </w:tcPr>
          <w:p w14:paraId="4A56F6C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000000" w:fill="FFFFFF"/>
            <w:noWrap/>
            <w:vAlign w:val="center"/>
            <w:hideMark/>
          </w:tcPr>
          <w:p w14:paraId="05470DD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r>
      <w:tr w:rsidR="005975AA" w:rsidRPr="005975AA" w14:paraId="377991B4" w14:textId="77777777" w:rsidTr="00390CE3">
        <w:trPr>
          <w:trHeight w:val="276"/>
        </w:trPr>
        <w:tc>
          <w:tcPr>
            <w:tcW w:w="4417" w:type="dxa"/>
            <w:tcBorders>
              <w:top w:val="nil"/>
              <w:left w:val="nil"/>
              <w:bottom w:val="nil"/>
              <w:right w:val="nil"/>
            </w:tcBorders>
            <w:shd w:val="clear" w:color="000000" w:fill="FFFFFF"/>
            <w:noWrap/>
            <w:vAlign w:val="center"/>
            <w:hideMark/>
          </w:tcPr>
          <w:p w14:paraId="6E01449B"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Bonos por pagar</w:t>
            </w:r>
          </w:p>
        </w:tc>
        <w:tc>
          <w:tcPr>
            <w:tcW w:w="1002" w:type="dxa"/>
            <w:tcBorders>
              <w:top w:val="nil"/>
              <w:left w:val="nil"/>
              <w:bottom w:val="nil"/>
              <w:right w:val="nil"/>
            </w:tcBorders>
            <w:shd w:val="clear" w:color="auto" w:fill="auto"/>
            <w:vAlign w:val="bottom"/>
            <w:hideMark/>
          </w:tcPr>
          <w:p w14:paraId="41B1DD0E"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1 086 </w:t>
            </w:r>
          </w:p>
        </w:tc>
        <w:tc>
          <w:tcPr>
            <w:tcW w:w="186" w:type="dxa"/>
            <w:tcBorders>
              <w:top w:val="nil"/>
              <w:left w:val="nil"/>
              <w:bottom w:val="nil"/>
              <w:right w:val="nil"/>
            </w:tcBorders>
            <w:shd w:val="clear" w:color="000000" w:fill="FFFFFF"/>
            <w:noWrap/>
            <w:vAlign w:val="bottom"/>
            <w:hideMark/>
          </w:tcPr>
          <w:p w14:paraId="5F7A278B"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C4BE7F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1 224 </w:t>
            </w:r>
          </w:p>
        </w:tc>
        <w:tc>
          <w:tcPr>
            <w:tcW w:w="286" w:type="dxa"/>
            <w:tcBorders>
              <w:top w:val="nil"/>
              <w:left w:val="nil"/>
              <w:bottom w:val="nil"/>
              <w:right w:val="nil"/>
            </w:tcBorders>
            <w:shd w:val="clear" w:color="000000" w:fill="FFFFFF"/>
            <w:noWrap/>
            <w:vAlign w:val="bottom"/>
            <w:hideMark/>
          </w:tcPr>
          <w:p w14:paraId="370E10B2"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31A35827"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6279A1B0"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F3CCEC0"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0AD4989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8EE574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0A97461E"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6869A20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34B435ED" w14:textId="77777777" w:rsidTr="00390CE3">
        <w:trPr>
          <w:trHeight w:val="276"/>
        </w:trPr>
        <w:tc>
          <w:tcPr>
            <w:tcW w:w="4417" w:type="dxa"/>
            <w:tcBorders>
              <w:top w:val="nil"/>
              <w:left w:val="nil"/>
              <w:bottom w:val="nil"/>
              <w:right w:val="nil"/>
            </w:tcBorders>
            <w:shd w:val="clear" w:color="000000" w:fill="FFFFFF"/>
            <w:noWrap/>
            <w:vAlign w:val="center"/>
            <w:hideMark/>
          </w:tcPr>
          <w:p w14:paraId="4DD771D8"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Préstamos por pagar </w:t>
            </w:r>
          </w:p>
        </w:tc>
        <w:tc>
          <w:tcPr>
            <w:tcW w:w="1002" w:type="dxa"/>
            <w:tcBorders>
              <w:top w:val="nil"/>
              <w:left w:val="nil"/>
              <w:bottom w:val="nil"/>
              <w:right w:val="nil"/>
            </w:tcBorders>
            <w:shd w:val="clear" w:color="auto" w:fill="auto"/>
            <w:vAlign w:val="bottom"/>
            <w:hideMark/>
          </w:tcPr>
          <w:p w14:paraId="5D3741E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620 </w:t>
            </w:r>
          </w:p>
        </w:tc>
        <w:tc>
          <w:tcPr>
            <w:tcW w:w="186" w:type="dxa"/>
            <w:tcBorders>
              <w:top w:val="nil"/>
              <w:left w:val="nil"/>
              <w:bottom w:val="nil"/>
              <w:right w:val="nil"/>
            </w:tcBorders>
            <w:shd w:val="clear" w:color="000000" w:fill="FFFFFF"/>
            <w:noWrap/>
            <w:vAlign w:val="bottom"/>
            <w:hideMark/>
          </w:tcPr>
          <w:p w14:paraId="2BE95F31"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32F5ADD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805 </w:t>
            </w:r>
          </w:p>
        </w:tc>
        <w:tc>
          <w:tcPr>
            <w:tcW w:w="286" w:type="dxa"/>
            <w:tcBorders>
              <w:top w:val="nil"/>
              <w:left w:val="nil"/>
              <w:bottom w:val="nil"/>
              <w:right w:val="nil"/>
            </w:tcBorders>
            <w:shd w:val="clear" w:color="000000" w:fill="FFFFFF"/>
            <w:noWrap/>
            <w:vAlign w:val="bottom"/>
            <w:hideMark/>
          </w:tcPr>
          <w:p w14:paraId="161A350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670D19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20 841 </w:t>
            </w:r>
          </w:p>
        </w:tc>
        <w:tc>
          <w:tcPr>
            <w:tcW w:w="186" w:type="dxa"/>
            <w:tcBorders>
              <w:top w:val="nil"/>
              <w:left w:val="nil"/>
              <w:bottom w:val="nil"/>
              <w:right w:val="nil"/>
            </w:tcBorders>
            <w:shd w:val="clear" w:color="000000" w:fill="FFFFFF"/>
            <w:noWrap/>
            <w:vAlign w:val="bottom"/>
            <w:hideMark/>
          </w:tcPr>
          <w:p w14:paraId="3125605A"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1EE360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21 880 </w:t>
            </w:r>
          </w:p>
        </w:tc>
        <w:tc>
          <w:tcPr>
            <w:tcW w:w="286" w:type="dxa"/>
            <w:tcBorders>
              <w:top w:val="nil"/>
              <w:left w:val="nil"/>
              <w:bottom w:val="nil"/>
              <w:right w:val="nil"/>
            </w:tcBorders>
            <w:shd w:val="clear" w:color="000000" w:fill="FFFFFF"/>
            <w:noWrap/>
            <w:vAlign w:val="bottom"/>
            <w:hideMark/>
          </w:tcPr>
          <w:p w14:paraId="2A9AD859"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16A9E3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424439DC"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4E6C884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A832BA8" w14:textId="77777777" w:rsidTr="00390CE3">
        <w:trPr>
          <w:trHeight w:val="276"/>
        </w:trPr>
        <w:tc>
          <w:tcPr>
            <w:tcW w:w="4417" w:type="dxa"/>
            <w:tcBorders>
              <w:top w:val="nil"/>
              <w:left w:val="nil"/>
              <w:bottom w:val="nil"/>
              <w:right w:val="nil"/>
            </w:tcBorders>
            <w:shd w:val="clear" w:color="000000" w:fill="FFFFFF"/>
            <w:noWrap/>
            <w:vAlign w:val="center"/>
            <w:hideMark/>
          </w:tcPr>
          <w:p w14:paraId="008598CC"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Obligaciones por arrendamientos</w:t>
            </w:r>
          </w:p>
        </w:tc>
        <w:tc>
          <w:tcPr>
            <w:tcW w:w="1002" w:type="dxa"/>
            <w:tcBorders>
              <w:top w:val="nil"/>
              <w:left w:val="nil"/>
              <w:bottom w:val="nil"/>
              <w:right w:val="nil"/>
            </w:tcBorders>
            <w:shd w:val="clear" w:color="auto" w:fill="auto"/>
            <w:vAlign w:val="bottom"/>
            <w:hideMark/>
          </w:tcPr>
          <w:p w14:paraId="20437977"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557 </w:t>
            </w:r>
          </w:p>
        </w:tc>
        <w:tc>
          <w:tcPr>
            <w:tcW w:w="186" w:type="dxa"/>
            <w:tcBorders>
              <w:top w:val="nil"/>
              <w:left w:val="nil"/>
              <w:bottom w:val="nil"/>
              <w:right w:val="nil"/>
            </w:tcBorders>
            <w:shd w:val="clear" w:color="000000" w:fill="FFFFFF"/>
            <w:noWrap/>
            <w:vAlign w:val="bottom"/>
            <w:hideMark/>
          </w:tcPr>
          <w:p w14:paraId="57979C4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E53312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618 </w:t>
            </w:r>
          </w:p>
        </w:tc>
        <w:tc>
          <w:tcPr>
            <w:tcW w:w="286" w:type="dxa"/>
            <w:tcBorders>
              <w:top w:val="nil"/>
              <w:left w:val="nil"/>
              <w:bottom w:val="nil"/>
              <w:right w:val="nil"/>
            </w:tcBorders>
            <w:shd w:val="clear" w:color="000000" w:fill="FFFFFF"/>
            <w:noWrap/>
            <w:vAlign w:val="bottom"/>
            <w:hideMark/>
          </w:tcPr>
          <w:p w14:paraId="0891E07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5F5DF92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332BE333"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35B7DE70"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69DD506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A62072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4DB89864"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3DBB0387"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514A9BE0" w14:textId="77777777" w:rsidTr="00390CE3">
        <w:trPr>
          <w:trHeight w:val="276"/>
        </w:trPr>
        <w:tc>
          <w:tcPr>
            <w:tcW w:w="4417" w:type="dxa"/>
            <w:tcBorders>
              <w:top w:val="nil"/>
              <w:left w:val="nil"/>
              <w:bottom w:val="nil"/>
              <w:right w:val="nil"/>
            </w:tcBorders>
            <w:shd w:val="clear" w:color="000000" w:fill="FFFFFF"/>
            <w:noWrap/>
            <w:vAlign w:val="center"/>
            <w:hideMark/>
          </w:tcPr>
          <w:p w14:paraId="252EAF2A"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Cuentas por pagar</w:t>
            </w:r>
          </w:p>
        </w:tc>
        <w:tc>
          <w:tcPr>
            <w:tcW w:w="1002" w:type="dxa"/>
            <w:tcBorders>
              <w:top w:val="nil"/>
              <w:left w:val="nil"/>
              <w:bottom w:val="nil"/>
              <w:right w:val="nil"/>
            </w:tcBorders>
            <w:shd w:val="clear" w:color="auto" w:fill="auto"/>
            <w:vAlign w:val="bottom"/>
            <w:hideMark/>
          </w:tcPr>
          <w:p w14:paraId="0B029DA7"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66 </w:t>
            </w:r>
          </w:p>
        </w:tc>
        <w:tc>
          <w:tcPr>
            <w:tcW w:w="186" w:type="dxa"/>
            <w:tcBorders>
              <w:top w:val="nil"/>
              <w:left w:val="nil"/>
              <w:bottom w:val="nil"/>
              <w:right w:val="nil"/>
            </w:tcBorders>
            <w:shd w:val="clear" w:color="000000" w:fill="FFFFFF"/>
            <w:noWrap/>
            <w:vAlign w:val="bottom"/>
            <w:hideMark/>
          </w:tcPr>
          <w:p w14:paraId="7E66B66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5708A1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71 </w:t>
            </w:r>
          </w:p>
        </w:tc>
        <w:tc>
          <w:tcPr>
            <w:tcW w:w="286" w:type="dxa"/>
            <w:tcBorders>
              <w:top w:val="nil"/>
              <w:left w:val="nil"/>
              <w:bottom w:val="nil"/>
              <w:right w:val="nil"/>
            </w:tcBorders>
            <w:shd w:val="clear" w:color="000000" w:fill="FFFFFF"/>
            <w:noWrap/>
            <w:vAlign w:val="bottom"/>
            <w:hideMark/>
          </w:tcPr>
          <w:p w14:paraId="096EC48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7975B0D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579 </w:t>
            </w:r>
          </w:p>
        </w:tc>
        <w:tc>
          <w:tcPr>
            <w:tcW w:w="186" w:type="dxa"/>
            <w:tcBorders>
              <w:top w:val="nil"/>
              <w:left w:val="nil"/>
              <w:bottom w:val="nil"/>
              <w:right w:val="nil"/>
            </w:tcBorders>
            <w:shd w:val="clear" w:color="000000" w:fill="FFFFFF"/>
            <w:noWrap/>
            <w:vAlign w:val="bottom"/>
            <w:hideMark/>
          </w:tcPr>
          <w:p w14:paraId="330E7E2D"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E0B5C3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578 </w:t>
            </w:r>
          </w:p>
        </w:tc>
        <w:tc>
          <w:tcPr>
            <w:tcW w:w="286" w:type="dxa"/>
            <w:tcBorders>
              <w:top w:val="nil"/>
              <w:left w:val="nil"/>
              <w:bottom w:val="nil"/>
              <w:right w:val="nil"/>
            </w:tcBorders>
            <w:shd w:val="clear" w:color="000000" w:fill="FFFFFF"/>
            <w:noWrap/>
            <w:vAlign w:val="bottom"/>
            <w:hideMark/>
          </w:tcPr>
          <w:p w14:paraId="24DE6C79"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3F42F6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49CB6D44"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1C2BA44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6B633A78" w14:textId="77777777" w:rsidTr="00390CE3">
        <w:trPr>
          <w:trHeight w:val="276"/>
        </w:trPr>
        <w:tc>
          <w:tcPr>
            <w:tcW w:w="4417" w:type="dxa"/>
            <w:tcBorders>
              <w:top w:val="nil"/>
              <w:left w:val="nil"/>
              <w:bottom w:val="nil"/>
              <w:right w:val="nil"/>
            </w:tcBorders>
            <w:shd w:val="clear" w:color="000000" w:fill="FFFFFF"/>
            <w:noWrap/>
            <w:vAlign w:val="center"/>
            <w:hideMark/>
          </w:tcPr>
          <w:p w14:paraId="364AB6EB"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Intereses acumulados por pagar </w:t>
            </w:r>
          </w:p>
        </w:tc>
        <w:tc>
          <w:tcPr>
            <w:tcW w:w="1002" w:type="dxa"/>
            <w:tcBorders>
              <w:top w:val="nil"/>
              <w:left w:val="nil"/>
              <w:bottom w:val="nil"/>
              <w:right w:val="nil"/>
            </w:tcBorders>
            <w:shd w:val="clear" w:color="auto" w:fill="auto"/>
            <w:vAlign w:val="bottom"/>
            <w:hideMark/>
          </w:tcPr>
          <w:p w14:paraId="6B582757"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19 </w:t>
            </w:r>
          </w:p>
        </w:tc>
        <w:tc>
          <w:tcPr>
            <w:tcW w:w="186" w:type="dxa"/>
            <w:tcBorders>
              <w:top w:val="nil"/>
              <w:left w:val="nil"/>
              <w:bottom w:val="nil"/>
              <w:right w:val="nil"/>
            </w:tcBorders>
            <w:shd w:val="clear" w:color="000000" w:fill="FFFFFF"/>
            <w:noWrap/>
            <w:vAlign w:val="bottom"/>
            <w:hideMark/>
          </w:tcPr>
          <w:p w14:paraId="2FEA29DF"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5550DD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17 </w:t>
            </w:r>
          </w:p>
        </w:tc>
        <w:tc>
          <w:tcPr>
            <w:tcW w:w="286" w:type="dxa"/>
            <w:tcBorders>
              <w:top w:val="nil"/>
              <w:left w:val="nil"/>
              <w:bottom w:val="nil"/>
              <w:right w:val="nil"/>
            </w:tcBorders>
            <w:shd w:val="clear" w:color="000000" w:fill="FFFFFF"/>
            <w:noWrap/>
            <w:vAlign w:val="bottom"/>
            <w:hideMark/>
          </w:tcPr>
          <w:p w14:paraId="6B00523C"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65FA7E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82 </w:t>
            </w:r>
          </w:p>
        </w:tc>
        <w:tc>
          <w:tcPr>
            <w:tcW w:w="186" w:type="dxa"/>
            <w:tcBorders>
              <w:top w:val="nil"/>
              <w:left w:val="nil"/>
              <w:bottom w:val="nil"/>
              <w:right w:val="nil"/>
            </w:tcBorders>
            <w:shd w:val="clear" w:color="000000" w:fill="FFFFFF"/>
            <w:noWrap/>
            <w:vAlign w:val="bottom"/>
            <w:hideMark/>
          </w:tcPr>
          <w:p w14:paraId="1EBA311A"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7FA6B8A"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86 </w:t>
            </w:r>
          </w:p>
        </w:tc>
        <w:tc>
          <w:tcPr>
            <w:tcW w:w="286" w:type="dxa"/>
            <w:tcBorders>
              <w:top w:val="nil"/>
              <w:left w:val="nil"/>
              <w:bottom w:val="nil"/>
              <w:right w:val="nil"/>
            </w:tcBorders>
            <w:shd w:val="clear" w:color="000000" w:fill="FFFFFF"/>
            <w:noWrap/>
            <w:vAlign w:val="bottom"/>
            <w:hideMark/>
          </w:tcPr>
          <w:p w14:paraId="0CFC76B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C62D4F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0691186C"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0762910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0D7355E" w14:textId="77777777" w:rsidTr="00390CE3">
        <w:trPr>
          <w:trHeight w:val="276"/>
        </w:trPr>
        <w:tc>
          <w:tcPr>
            <w:tcW w:w="4417" w:type="dxa"/>
            <w:tcBorders>
              <w:top w:val="nil"/>
              <w:left w:val="nil"/>
              <w:bottom w:val="nil"/>
              <w:right w:val="nil"/>
            </w:tcBorders>
            <w:shd w:val="clear" w:color="000000" w:fill="FFFFFF"/>
            <w:noWrap/>
            <w:vAlign w:val="center"/>
            <w:hideMark/>
          </w:tcPr>
          <w:p w14:paraId="58C707E0"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Otros pasivos</w:t>
            </w:r>
          </w:p>
        </w:tc>
        <w:tc>
          <w:tcPr>
            <w:tcW w:w="1002" w:type="dxa"/>
            <w:tcBorders>
              <w:top w:val="nil"/>
              <w:left w:val="nil"/>
              <w:bottom w:val="nil"/>
              <w:right w:val="nil"/>
            </w:tcBorders>
            <w:shd w:val="clear" w:color="auto" w:fill="auto"/>
            <w:vAlign w:val="bottom"/>
            <w:hideMark/>
          </w:tcPr>
          <w:p w14:paraId="668606F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3EC750AF"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7F6F2090"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10 </w:t>
            </w:r>
          </w:p>
        </w:tc>
        <w:tc>
          <w:tcPr>
            <w:tcW w:w="286" w:type="dxa"/>
            <w:tcBorders>
              <w:top w:val="nil"/>
              <w:left w:val="nil"/>
              <w:bottom w:val="nil"/>
              <w:right w:val="nil"/>
            </w:tcBorders>
            <w:shd w:val="clear" w:color="000000" w:fill="FFFFFF"/>
            <w:noWrap/>
            <w:vAlign w:val="bottom"/>
            <w:hideMark/>
          </w:tcPr>
          <w:p w14:paraId="65413018"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0DEE54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520DD4F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77AFE63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321FA7B2"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37117B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24A82006"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60E15DC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6A12EED" w14:textId="77777777" w:rsidTr="00390CE3">
        <w:trPr>
          <w:trHeight w:val="276"/>
        </w:trPr>
        <w:tc>
          <w:tcPr>
            <w:tcW w:w="4417" w:type="dxa"/>
            <w:tcBorders>
              <w:top w:val="nil"/>
              <w:left w:val="nil"/>
              <w:bottom w:val="nil"/>
              <w:right w:val="nil"/>
            </w:tcBorders>
            <w:shd w:val="clear" w:color="000000" w:fill="FFFFFF"/>
            <w:noWrap/>
            <w:vAlign w:val="center"/>
            <w:hideMark/>
          </w:tcPr>
          <w:p w14:paraId="1B273915"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Ingresos recibidos por adelantado</w:t>
            </w:r>
          </w:p>
        </w:tc>
        <w:tc>
          <w:tcPr>
            <w:tcW w:w="1002" w:type="dxa"/>
            <w:tcBorders>
              <w:top w:val="nil"/>
              <w:left w:val="nil"/>
              <w:bottom w:val="nil"/>
              <w:right w:val="nil"/>
            </w:tcBorders>
            <w:shd w:val="clear" w:color="auto" w:fill="auto"/>
            <w:vAlign w:val="bottom"/>
            <w:hideMark/>
          </w:tcPr>
          <w:p w14:paraId="4AC59D9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1A3C78B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1CEFAE71"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7 </w:t>
            </w:r>
          </w:p>
        </w:tc>
        <w:tc>
          <w:tcPr>
            <w:tcW w:w="286" w:type="dxa"/>
            <w:tcBorders>
              <w:top w:val="nil"/>
              <w:left w:val="nil"/>
              <w:bottom w:val="nil"/>
              <w:right w:val="nil"/>
            </w:tcBorders>
            <w:shd w:val="clear" w:color="000000" w:fill="FFFFFF"/>
            <w:noWrap/>
            <w:vAlign w:val="bottom"/>
            <w:hideMark/>
          </w:tcPr>
          <w:p w14:paraId="3203F41A"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5CB8551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26A671A3"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5A6238D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052BFDB5"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3B0BB8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2E181645"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6D1B2D2E"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1DC1CAD2" w14:textId="77777777" w:rsidTr="00390CE3">
        <w:trPr>
          <w:trHeight w:val="276"/>
        </w:trPr>
        <w:tc>
          <w:tcPr>
            <w:tcW w:w="4417" w:type="dxa"/>
            <w:tcBorders>
              <w:top w:val="nil"/>
              <w:left w:val="nil"/>
              <w:bottom w:val="nil"/>
              <w:right w:val="nil"/>
            </w:tcBorders>
            <w:shd w:val="clear" w:color="000000" w:fill="FFFFFF"/>
            <w:noWrap/>
            <w:vAlign w:val="center"/>
            <w:hideMark/>
          </w:tcPr>
          <w:p w14:paraId="3092259F"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Depósitos recibidos en garantía</w:t>
            </w:r>
          </w:p>
        </w:tc>
        <w:tc>
          <w:tcPr>
            <w:tcW w:w="1002" w:type="dxa"/>
            <w:tcBorders>
              <w:top w:val="nil"/>
              <w:left w:val="nil"/>
              <w:bottom w:val="nil"/>
              <w:right w:val="nil"/>
            </w:tcBorders>
            <w:shd w:val="clear" w:color="auto" w:fill="auto"/>
            <w:vAlign w:val="bottom"/>
            <w:hideMark/>
          </w:tcPr>
          <w:p w14:paraId="71BA115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0A380283"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21C50F3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 </w:t>
            </w:r>
          </w:p>
        </w:tc>
        <w:tc>
          <w:tcPr>
            <w:tcW w:w="286" w:type="dxa"/>
            <w:tcBorders>
              <w:top w:val="nil"/>
              <w:left w:val="nil"/>
              <w:bottom w:val="nil"/>
              <w:right w:val="nil"/>
            </w:tcBorders>
            <w:shd w:val="clear" w:color="000000" w:fill="FFFFFF"/>
            <w:noWrap/>
            <w:vAlign w:val="bottom"/>
            <w:hideMark/>
          </w:tcPr>
          <w:p w14:paraId="1FE5909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4E8C201"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30676F5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0B272151"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7735E98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A4DD13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466002B9"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6C55419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0143EFE4" w14:textId="77777777" w:rsidTr="00390CE3">
        <w:trPr>
          <w:trHeight w:val="276"/>
        </w:trPr>
        <w:tc>
          <w:tcPr>
            <w:tcW w:w="4417" w:type="dxa"/>
            <w:tcBorders>
              <w:top w:val="nil"/>
              <w:left w:val="nil"/>
              <w:bottom w:val="nil"/>
              <w:right w:val="nil"/>
            </w:tcBorders>
            <w:shd w:val="clear" w:color="000000" w:fill="FFFFFF"/>
            <w:noWrap/>
            <w:vAlign w:val="center"/>
            <w:hideMark/>
          </w:tcPr>
          <w:p w14:paraId="2E8E9E1A"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Provisión por litigios </w:t>
            </w:r>
          </w:p>
        </w:tc>
        <w:tc>
          <w:tcPr>
            <w:tcW w:w="1002" w:type="dxa"/>
            <w:tcBorders>
              <w:top w:val="nil"/>
              <w:left w:val="nil"/>
              <w:bottom w:val="nil"/>
              <w:right w:val="nil"/>
            </w:tcBorders>
            <w:shd w:val="clear" w:color="auto" w:fill="auto"/>
            <w:vAlign w:val="bottom"/>
            <w:hideMark/>
          </w:tcPr>
          <w:p w14:paraId="30540DA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6 </w:t>
            </w:r>
          </w:p>
        </w:tc>
        <w:tc>
          <w:tcPr>
            <w:tcW w:w="186" w:type="dxa"/>
            <w:tcBorders>
              <w:top w:val="nil"/>
              <w:left w:val="nil"/>
              <w:bottom w:val="nil"/>
              <w:right w:val="nil"/>
            </w:tcBorders>
            <w:shd w:val="clear" w:color="000000" w:fill="FFFFFF"/>
            <w:noWrap/>
            <w:vAlign w:val="bottom"/>
            <w:hideMark/>
          </w:tcPr>
          <w:p w14:paraId="239DBBE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753F6CA1"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1D374E28"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6DBE1D22"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3170A1EE"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4900F59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286" w:type="dxa"/>
            <w:tcBorders>
              <w:top w:val="nil"/>
              <w:left w:val="nil"/>
              <w:bottom w:val="nil"/>
              <w:right w:val="nil"/>
            </w:tcBorders>
            <w:shd w:val="clear" w:color="000000" w:fill="FFFFFF"/>
            <w:noWrap/>
            <w:vAlign w:val="bottom"/>
            <w:hideMark/>
          </w:tcPr>
          <w:p w14:paraId="44DB4CD2"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nil"/>
              <w:right w:val="nil"/>
            </w:tcBorders>
            <w:shd w:val="clear" w:color="auto" w:fill="auto"/>
            <w:vAlign w:val="bottom"/>
            <w:hideMark/>
          </w:tcPr>
          <w:p w14:paraId="2C1EE464"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bottom"/>
            <w:hideMark/>
          </w:tcPr>
          <w:p w14:paraId="382C8A79" w14:textId="77777777" w:rsidR="005975AA" w:rsidRPr="005975AA" w:rsidRDefault="005975AA" w:rsidP="005975AA">
            <w:pPr>
              <w:ind w:right="0"/>
              <w:jc w:val="right"/>
              <w:rPr>
                <w:color w:val="000000"/>
                <w:sz w:val="22"/>
                <w:szCs w:val="22"/>
                <w:lang w:val="es-419" w:eastAsia="es-419"/>
              </w:rPr>
            </w:pPr>
            <w:r w:rsidRPr="005975AA">
              <w:rPr>
                <w:color w:val="000000"/>
                <w:sz w:val="22"/>
                <w:szCs w:val="22"/>
                <w:lang w:val="es-419" w:eastAsia="es-419"/>
              </w:rPr>
              <w:t> </w:t>
            </w:r>
          </w:p>
        </w:tc>
        <w:tc>
          <w:tcPr>
            <w:tcW w:w="1002" w:type="dxa"/>
            <w:tcBorders>
              <w:top w:val="nil"/>
              <w:left w:val="nil"/>
              <w:bottom w:val="nil"/>
              <w:right w:val="nil"/>
            </w:tcBorders>
            <w:shd w:val="clear" w:color="auto" w:fill="auto"/>
            <w:vAlign w:val="bottom"/>
            <w:hideMark/>
          </w:tcPr>
          <w:p w14:paraId="1FC91C00"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42BE85C3" w14:textId="77777777" w:rsidTr="00390CE3">
        <w:trPr>
          <w:trHeight w:val="276"/>
        </w:trPr>
        <w:tc>
          <w:tcPr>
            <w:tcW w:w="4417" w:type="dxa"/>
            <w:tcBorders>
              <w:top w:val="nil"/>
              <w:left w:val="nil"/>
              <w:bottom w:val="nil"/>
              <w:right w:val="nil"/>
            </w:tcBorders>
            <w:shd w:val="clear" w:color="000000" w:fill="FFFFFF"/>
            <w:noWrap/>
            <w:vAlign w:val="center"/>
            <w:hideMark/>
          </w:tcPr>
          <w:p w14:paraId="2656A0AC"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645EABB8"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2 354 </w:t>
            </w:r>
          </w:p>
        </w:tc>
        <w:tc>
          <w:tcPr>
            <w:tcW w:w="186" w:type="dxa"/>
            <w:tcBorders>
              <w:top w:val="nil"/>
              <w:left w:val="nil"/>
              <w:bottom w:val="nil"/>
              <w:right w:val="nil"/>
            </w:tcBorders>
            <w:shd w:val="clear" w:color="000000" w:fill="FFFFFF"/>
            <w:noWrap/>
            <w:vAlign w:val="center"/>
            <w:hideMark/>
          </w:tcPr>
          <w:p w14:paraId="1EEE90E5"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4139514C"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2 754 </w:t>
            </w:r>
          </w:p>
        </w:tc>
        <w:tc>
          <w:tcPr>
            <w:tcW w:w="286" w:type="dxa"/>
            <w:tcBorders>
              <w:top w:val="nil"/>
              <w:left w:val="nil"/>
              <w:bottom w:val="nil"/>
              <w:right w:val="nil"/>
            </w:tcBorders>
            <w:shd w:val="clear" w:color="000000" w:fill="FFFFFF"/>
            <w:noWrap/>
            <w:vAlign w:val="center"/>
            <w:hideMark/>
          </w:tcPr>
          <w:p w14:paraId="4EF09B9D"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7F8EA90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21 502 </w:t>
            </w:r>
          </w:p>
        </w:tc>
        <w:tc>
          <w:tcPr>
            <w:tcW w:w="186" w:type="dxa"/>
            <w:tcBorders>
              <w:top w:val="nil"/>
              <w:left w:val="nil"/>
              <w:bottom w:val="nil"/>
              <w:right w:val="nil"/>
            </w:tcBorders>
            <w:shd w:val="clear" w:color="000000" w:fill="FFFFFF"/>
            <w:noWrap/>
            <w:vAlign w:val="center"/>
            <w:hideMark/>
          </w:tcPr>
          <w:p w14:paraId="1EF861D1"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39CD5FC6"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22 544 </w:t>
            </w:r>
          </w:p>
        </w:tc>
        <w:tc>
          <w:tcPr>
            <w:tcW w:w="286" w:type="dxa"/>
            <w:tcBorders>
              <w:top w:val="nil"/>
              <w:left w:val="nil"/>
              <w:bottom w:val="nil"/>
              <w:right w:val="nil"/>
            </w:tcBorders>
            <w:shd w:val="clear" w:color="000000" w:fill="FFFFFF"/>
            <w:noWrap/>
            <w:vAlign w:val="center"/>
            <w:hideMark/>
          </w:tcPr>
          <w:p w14:paraId="16E00866"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2BAEDFE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center"/>
            <w:hideMark/>
          </w:tcPr>
          <w:p w14:paraId="6ECFCF18"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single" w:sz="4" w:space="0" w:color="auto"/>
              <w:left w:val="nil"/>
              <w:bottom w:val="single" w:sz="4" w:space="0" w:color="auto"/>
              <w:right w:val="nil"/>
            </w:tcBorders>
            <w:shd w:val="clear" w:color="auto" w:fill="auto"/>
            <w:vAlign w:val="center"/>
            <w:hideMark/>
          </w:tcPr>
          <w:p w14:paraId="3548BE6F"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r w:rsidR="005975AA" w:rsidRPr="005975AA" w14:paraId="6A071601" w14:textId="77777777" w:rsidTr="00390CE3">
        <w:trPr>
          <w:trHeight w:val="286"/>
        </w:trPr>
        <w:tc>
          <w:tcPr>
            <w:tcW w:w="4417" w:type="dxa"/>
            <w:tcBorders>
              <w:top w:val="nil"/>
              <w:left w:val="nil"/>
              <w:bottom w:val="nil"/>
              <w:right w:val="nil"/>
            </w:tcBorders>
            <w:shd w:val="clear" w:color="000000" w:fill="FFFFFF"/>
            <w:noWrap/>
            <w:vAlign w:val="center"/>
            <w:hideMark/>
          </w:tcPr>
          <w:p w14:paraId="221E50B9" w14:textId="77777777" w:rsidR="005975AA" w:rsidRPr="005975AA" w:rsidRDefault="005975AA" w:rsidP="005975AA">
            <w:pPr>
              <w:ind w:right="0"/>
              <w:jc w:val="left"/>
              <w:rPr>
                <w:color w:val="000000"/>
                <w:sz w:val="22"/>
                <w:szCs w:val="22"/>
                <w:lang w:val="es-419" w:eastAsia="es-419"/>
              </w:rPr>
            </w:pPr>
            <w:r w:rsidRPr="005975AA">
              <w:rPr>
                <w:color w:val="000000"/>
                <w:sz w:val="22"/>
                <w:szCs w:val="22"/>
                <w:lang w:val="es-419" w:eastAsia="es-419"/>
              </w:rPr>
              <w:t xml:space="preserve">  Exceso de pasivos sobre activos </w:t>
            </w:r>
          </w:p>
        </w:tc>
        <w:tc>
          <w:tcPr>
            <w:tcW w:w="1002" w:type="dxa"/>
            <w:tcBorders>
              <w:top w:val="nil"/>
              <w:left w:val="nil"/>
              <w:bottom w:val="double" w:sz="6" w:space="0" w:color="auto"/>
              <w:right w:val="nil"/>
            </w:tcBorders>
            <w:shd w:val="clear" w:color="auto" w:fill="auto"/>
            <w:vAlign w:val="center"/>
            <w:hideMark/>
          </w:tcPr>
          <w:p w14:paraId="000B9C9B"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1 890 </w:t>
            </w:r>
          </w:p>
        </w:tc>
        <w:tc>
          <w:tcPr>
            <w:tcW w:w="186" w:type="dxa"/>
            <w:tcBorders>
              <w:top w:val="nil"/>
              <w:left w:val="nil"/>
              <w:bottom w:val="nil"/>
              <w:right w:val="nil"/>
            </w:tcBorders>
            <w:shd w:val="clear" w:color="000000" w:fill="FFFFFF"/>
            <w:noWrap/>
            <w:vAlign w:val="center"/>
            <w:hideMark/>
          </w:tcPr>
          <w:p w14:paraId="5883A027"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double" w:sz="6" w:space="0" w:color="auto"/>
              <w:right w:val="nil"/>
            </w:tcBorders>
            <w:shd w:val="clear" w:color="auto" w:fill="auto"/>
            <w:vAlign w:val="center"/>
            <w:hideMark/>
          </w:tcPr>
          <w:p w14:paraId="4CA3DAB3"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2 408 </w:t>
            </w:r>
          </w:p>
        </w:tc>
        <w:tc>
          <w:tcPr>
            <w:tcW w:w="286" w:type="dxa"/>
            <w:tcBorders>
              <w:top w:val="nil"/>
              <w:left w:val="nil"/>
              <w:bottom w:val="nil"/>
              <w:right w:val="nil"/>
            </w:tcBorders>
            <w:shd w:val="clear" w:color="000000" w:fill="FFFFFF"/>
            <w:noWrap/>
            <w:vAlign w:val="center"/>
            <w:hideMark/>
          </w:tcPr>
          <w:p w14:paraId="4509E709"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double" w:sz="6" w:space="0" w:color="auto"/>
              <w:right w:val="nil"/>
            </w:tcBorders>
            <w:shd w:val="clear" w:color="auto" w:fill="auto"/>
            <w:vAlign w:val="center"/>
            <w:hideMark/>
          </w:tcPr>
          <w:p w14:paraId="27F10E3A"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21 502 </w:t>
            </w:r>
          </w:p>
        </w:tc>
        <w:tc>
          <w:tcPr>
            <w:tcW w:w="186" w:type="dxa"/>
            <w:tcBorders>
              <w:top w:val="nil"/>
              <w:left w:val="nil"/>
              <w:bottom w:val="nil"/>
              <w:right w:val="nil"/>
            </w:tcBorders>
            <w:shd w:val="clear" w:color="000000" w:fill="FFFFFF"/>
            <w:noWrap/>
            <w:vAlign w:val="center"/>
            <w:hideMark/>
          </w:tcPr>
          <w:p w14:paraId="65BB8542"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double" w:sz="6" w:space="0" w:color="auto"/>
              <w:right w:val="nil"/>
            </w:tcBorders>
            <w:shd w:val="clear" w:color="auto" w:fill="auto"/>
            <w:vAlign w:val="center"/>
            <w:hideMark/>
          </w:tcPr>
          <w:p w14:paraId="65F42C09"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22 544 </w:t>
            </w:r>
          </w:p>
        </w:tc>
        <w:tc>
          <w:tcPr>
            <w:tcW w:w="286" w:type="dxa"/>
            <w:tcBorders>
              <w:top w:val="nil"/>
              <w:left w:val="nil"/>
              <w:bottom w:val="nil"/>
              <w:right w:val="nil"/>
            </w:tcBorders>
            <w:shd w:val="clear" w:color="000000" w:fill="FFFFFF"/>
            <w:noWrap/>
            <w:vAlign w:val="center"/>
            <w:hideMark/>
          </w:tcPr>
          <w:p w14:paraId="634A4729"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double" w:sz="6" w:space="0" w:color="auto"/>
              <w:right w:val="nil"/>
            </w:tcBorders>
            <w:shd w:val="clear" w:color="auto" w:fill="auto"/>
            <w:vAlign w:val="center"/>
            <w:hideMark/>
          </w:tcPr>
          <w:p w14:paraId="3398CD55"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c>
          <w:tcPr>
            <w:tcW w:w="186" w:type="dxa"/>
            <w:tcBorders>
              <w:top w:val="nil"/>
              <w:left w:val="nil"/>
              <w:bottom w:val="nil"/>
              <w:right w:val="nil"/>
            </w:tcBorders>
            <w:shd w:val="clear" w:color="000000" w:fill="FFFFFF"/>
            <w:noWrap/>
            <w:vAlign w:val="center"/>
            <w:hideMark/>
          </w:tcPr>
          <w:p w14:paraId="0809FCC4" w14:textId="77777777" w:rsidR="005975AA" w:rsidRPr="005975AA" w:rsidRDefault="005975AA" w:rsidP="005975AA">
            <w:pPr>
              <w:ind w:right="0"/>
              <w:jc w:val="right"/>
              <w:rPr>
                <w:sz w:val="22"/>
                <w:szCs w:val="22"/>
                <w:lang w:val="es-419" w:eastAsia="es-419"/>
              </w:rPr>
            </w:pPr>
            <w:r w:rsidRPr="005975AA">
              <w:rPr>
                <w:sz w:val="22"/>
                <w:szCs w:val="22"/>
                <w:lang w:val="es-419" w:eastAsia="es-419"/>
              </w:rPr>
              <w:t> </w:t>
            </w:r>
          </w:p>
        </w:tc>
        <w:tc>
          <w:tcPr>
            <w:tcW w:w="1002" w:type="dxa"/>
            <w:tcBorders>
              <w:top w:val="nil"/>
              <w:left w:val="nil"/>
              <w:bottom w:val="double" w:sz="6" w:space="0" w:color="auto"/>
              <w:right w:val="nil"/>
            </w:tcBorders>
            <w:shd w:val="clear" w:color="auto" w:fill="auto"/>
            <w:vAlign w:val="center"/>
            <w:hideMark/>
          </w:tcPr>
          <w:p w14:paraId="0232983D" w14:textId="77777777" w:rsidR="005975AA" w:rsidRPr="005975AA" w:rsidRDefault="005975AA" w:rsidP="005975AA">
            <w:pPr>
              <w:ind w:right="0"/>
              <w:jc w:val="center"/>
              <w:rPr>
                <w:color w:val="000000"/>
                <w:sz w:val="22"/>
                <w:szCs w:val="22"/>
                <w:lang w:val="es-419" w:eastAsia="es-419"/>
              </w:rPr>
            </w:pPr>
            <w:r w:rsidRPr="005975AA">
              <w:rPr>
                <w:color w:val="000000"/>
                <w:sz w:val="22"/>
                <w:szCs w:val="22"/>
                <w:lang w:val="es-419" w:eastAsia="es-419"/>
              </w:rPr>
              <w:t xml:space="preserve">          -   </w:t>
            </w:r>
          </w:p>
        </w:tc>
      </w:tr>
    </w:tbl>
    <w:p w14:paraId="38AEBBC9" w14:textId="77777777" w:rsidR="005975AA" w:rsidRDefault="005975AA" w:rsidP="00A65F5F">
      <w:pPr>
        <w:ind w:left="-540" w:right="-25"/>
        <w:jc w:val="center"/>
      </w:pPr>
    </w:p>
    <w:p w14:paraId="344B08AE" w14:textId="594C9034" w:rsidR="00832BC4" w:rsidRDefault="00832BC4" w:rsidP="00832BC4">
      <w:pPr>
        <w:ind w:left="-540" w:right="-25"/>
        <w:jc w:val="center"/>
      </w:pPr>
    </w:p>
    <w:p w14:paraId="52DEFE6E" w14:textId="77777777" w:rsidR="00A91283" w:rsidRDefault="00A91283" w:rsidP="00832BC4">
      <w:pPr>
        <w:ind w:left="-540" w:right="-25"/>
        <w:jc w:val="center"/>
      </w:pPr>
    </w:p>
    <w:p w14:paraId="397A9240" w14:textId="1550E074" w:rsidR="00A91283" w:rsidRDefault="00A91283" w:rsidP="00832BC4">
      <w:pPr>
        <w:ind w:left="-540" w:right="-25"/>
        <w:jc w:val="center"/>
      </w:pPr>
    </w:p>
    <w:p w14:paraId="138BBCA5" w14:textId="77777777" w:rsidR="00A65F5F" w:rsidRPr="00367397" w:rsidRDefault="00A65F5F" w:rsidP="00EF0D70">
      <w:pPr>
        <w:pStyle w:val="Ttulo2"/>
        <w:numPr>
          <w:ilvl w:val="1"/>
          <w:numId w:val="58"/>
        </w:numPr>
      </w:pPr>
      <w:bookmarkStart w:id="1568" w:name="_Toc304737199"/>
      <w:bookmarkStart w:id="1569" w:name="_Toc343676034"/>
      <w:bookmarkStart w:id="1570" w:name="_Toc358619397"/>
      <w:bookmarkStart w:id="1571" w:name="_Toc358620662"/>
      <w:bookmarkStart w:id="1572" w:name="_Toc358621869"/>
      <w:bookmarkStart w:id="1573" w:name="_Toc358622846"/>
      <w:bookmarkStart w:id="1574" w:name="_Toc26357136"/>
      <w:bookmarkStart w:id="1575" w:name="_Toc138664925"/>
      <w:r w:rsidRPr="00367397">
        <w:t>Situación Fiscal del ICE</w:t>
      </w:r>
      <w:bookmarkEnd w:id="1568"/>
      <w:bookmarkEnd w:id="1569"/>
      <w:bookmarkEnd w:id="1570"/>
      <w:bookmarkEnd w:id="1571"/>
      <w:bookmarkEnd w:id="1572"/>
      <w:bookmarkEnd w:id="1573"/>
      <w:r w:rsidRPr="00367397">
        <w:t xml:space="preserve"> en relación con el Impuesto sobre la Renta</w:t>
      </w:r>
      <w:bookmarkEnd w:id="1574"/>
      <w:bookmarkEnd w:id="1575"/>
    </w:p>
    <w:p w14:paraId="72D0D1D7" w14:textId="77777777" w:rsidR="00A65F5F" w:rsidRDefault="00A65F5F" w:rsidP="00A65F5F">
      <w:pPr>
        <w:ind w:left="-540" w:right="-25"/>
      </w:pPr>
    </w:p>
    <w:p w14:paraId="500F2562" w14:textId="77777777" w:rsidR="00A65F5F" w:rsidRDefault="00A65F5F" w:rsidP="00A65F5F">
      <w:pPr>
        <w:ind w:left="-567" w:right="-25"/>
        <w:rPr>
          <w:b/>
        </w:rPr>
      </w:pPr>
      <w:r>
        <w:rPr>
          <w:lang w:val="es-CO"/>
        </w:rPr>
        <w:t>L</w:t>
      </w:r>
      <w:r w:rsidRPr="00674411">
        <w:rPr>
          <w:lang w:val="es-CO"/>
        </w:rPr>
        <w:t xml:space="preserve">a Ley No. 7722 denominada “Sujeción de Instituciones Estatales al Pago de Impuesto sobre la Renta”, establece lo siguiente: </w:t>
      </w:r>
      <w:r w:rsidRPr="00674411">
        <w:rPr>
          <w:i/>
          <w:lang w:val="es-CO"/>
        </w:rPr>
        <w:t>“los excedentes constituirán la renta imponible y se obtendrán al restar, a los ingresos brutos, los costos, los gastos útiles y las reservas de inversión o fondos de desarrollo, necesarios y pertinentes para producirlos.”</w:t>
      </w:r>
    </w:p>
    <w:p w14:paraId="7019F93D" w14:textId="77777777" w:rsidR="00A65F5F" w:rsidRDefault="00A65F5F" w:rsidP="00A65F5F">
      <w:pPr>
        <w:ind w:left="-567" w:right="-25"/>
        <w:rPr>
          <w:b/>
        </w:rPr>
      </w:pPr>
    </w:p>
    <w:p w14:paraId="2F7B94CB" w14:textId="77777777" w:rsidR="00A65F5F" w:rsidRDefault="00A65F5F" w:rsidP="00A65F5F">
      <w:pPr>
        <w:ind w:left="-567" w:right="-25"/>
        <w:rPr>
          <w:b/>
        </w:rPr>
      </w:pPr>
      <w:r w:rsidRPr="00B02A46">
        <w:t>El Instituto Costarricense de Electricidad, es contribuyente del impuesto sobre la renta, en tanto realice actividades de carácter lucrativo y se generen utilidades sobre ellas. Mediante el Decreto de Ley No. 449, relacionado con la creación del Instituto Costarricense de Electricidad, se establece en su artículo No. 17 lo siguiente: “la política financiera del ICE será la de capitalizar las utilidades netas que obtenga de la venta de energía eléctrica y de cualquier otra fuente que las tuviere, en la financiación y ejecución de los planes nacionales de electrificación e impulso de la industria a base de la energía eléctrica.”</w:t>
      </w:r>
    </w:p>
    <w:p w14:paraId="3307FE7F" w14:textId="77777777" w:rsidR="00A65F5F" w:rsidRDefault="00A65F5F" w:rsidP="00A65F5F">
      <w:pPr>
        <w:ind w:left="-567" w:right="-25"/>
        <w:rPr>
          <w:b/>
        </w:rPr>
      </w:pPr>
    </w:p>
    <w:p w14:paraId="54BB244E" w14:textId="77777777" w:rsidR="00A65F5F" w:rsidRPr="00B02A46" w:rsidRDefault="00A65F5F" w:rsidP="00A65F5F">
      <w:pPr>
        <w:ind w:left="-567" w:right="-25"/>
        <w:rPr>
          <w:b/>
        </w:rPr>
      </w:pPr>
      <w:r w:rsidRPr="00B02A46">
        <w:t xml:space="preserve">Debido a que el ICE debe capitalizar la totalidad de las utilidades netas que obtenga, no presenta excedentes, lo cual a su vez significa que no presenta renta imponible, y por tanto no se genera una obligación por concepto de impuesto sobre la renta.  </w:t>
      </w:r>
    </w:p>
    <w:p w14:paraId="2A6C99D5" w14:textId="77777777" w:rsidR="00A65F5F" w:rsidRDefault="00A65F5F" w:rsidP="00A65F5F">
      <w:pPr>
        <w:ind w:left="-540" w:right="-25"/>
      </w:pPr>
    </w:p>
    <w:p w14:paraId="3E82F98C" w14:textId="77777777" w:rsidR="00A65F5F" w:rsidRPr="006A4410" w:rsidRDefault="00A65F5F" w:rsidP="00EF0D70">
      <w:pPr>
        <w:pStyle w:val="Ttulo2"/>
        <w:numPr>
          <w:ilvl w:val="0"/>
          <w:numId w:val="26"/>
        </w:numPr>
      </w:pPr>
      <w:bookmarkStart w:id="1576" w:name="_Toc229150754"/>
      <w:bookmarkStart w:id="1577" w:name="_Toc231981198"/>
      <w:bookmarkStart w:id="1578" w:name="_Toc234672887"/>
      <w:bookmarkStart w:id="1579" w:name="_Toc234672997"/>
      <w:bookmarkStart w:id="1580" w:name="_Toc234673106"/>
      <w:bookmarkStart w:id="1581" w:name="_Toc234673215"/>
      <w:bookmarkStart w:id="1582" w:name="_Toc234673324"/>
      <w:bookmarkStart w:id="1583" w:name="_Toc234673543"/>
      <w:bookmarkStart w:id="1584" w:name="_Toc234673653"/>
      <w:bookmarkStart w:id="1585" w:name="_Toc234744069"/>
      <w:bookmarkStart w:id="1586" w:name="_Toc234744283"/>
      <w:bookmarkStart w:id="1587" w:name="_Toc234750713"/>
      <w:bookmarkStart w:id="1588" w:name="_Toc234750825"/>
      <w:bookmarkStart w:id="1589" w:name="_Toc234923917"/>
      <w:bookmarkStart w:id="1590" w:name="_Toc234925834"/>
      <w:bookmarkStart w:id="1591" w:name="_Toc235615265"/>
      <w:bookmarkStart w:id="1592" w:name="_Toc235616753"/>
      <w:bookmarkStart w:id="1593" w:name="_Toc235857008"/>
      <w:bookmarkStart w:id="1594" w:name="_Toc237334706"/>
      <w:bookmarkStart w:id="1595" w:name="_Toc237919659"/>
      <w:bookmarkStart w:id="1596" w:name="_Toc238276583"/>
      <w:bookmarkStart w:id="1597" w:name="_Toc238869526"/>
      <w:bookmarkStart w:id="1598" w:name="_Toc238873079"/>
      <w:bookmarkStart w:id="1599" w:name="_Toc238873452"/>
      <w:bookmarkStart w:id="1600" w:name="_Toc238876989"/>
      <w:bookmarkStart w:id="1601" w:name="_Toc240107357"/>
      <w:bookmarkStart w:id="1602" w:name="_Toc240159588"/>
      <w:bookmarkStart w:id="1603" w:name="_Toc240159740"/>
      <w:bookmarkStart w:id="1604" w:name="_Toc240255778"/>
      <w:bookmarkStart w:id="1605" w:name="_Toc240267682"/>
      <w:bookmarkStart w:id="1606" w:name="_Toc240267793"/>
      <w:bookmarkStart w:id="1607" w:name="_Toc240268186"/>
      <w:bookmarkStart w:id="1608" w:name="_Toc240268441"/>
      <w:bookmarkStart w:id="1609" w:name="_Toc240268554"/>
      <w:bookmarkStart w:id="1610" w:name="_Toc240268665"/>
      <w:bookmarkStart w:id="1611" w:name="_Toc240454256"/>
      <w:bookmarkStart w:id="1612" w:name="_Toc240697941"/>
      <w:bookmarkStart w:id="1613" w:name="_Toc258937743"/>
      <w:bookmarkStart w:id="1614" w:name="_Toc261418393"/>
      <w:bookmarkStart w:id="1615" w:name="_Toc261458577"/>
      <w:bookmarkStart w:id="1616" w:name="_Toc261458965"/>
      <w:bookmarkStart w:id="1617" w:name="_Toc262203287"/>
      <w:bookmarkStart w:id="1618" w:name="_Toc262218624"/>
      <w:bookmarkStart w:id="1619" w:name="_Toc262319080"/>
      <w:bookmarkStart w:id="1620" w:name="_Toc262458974"/>
      <w:bookmarkStart w:id="1621" w:name="_Toc262459828"/>
      <w:bookmarkStart w:id="1622" w:name="_Toc262460243"/>
      <w:bookmarkStart w:id="1623" w:name="_Toc262460370"/>
      <w:bookmarkStart w:id="1624" w:name="_Toc262460497"/>
      <w:bookmarkStart w:id="1625" w:name="_Toc262480993"/>
      <w:bookmarkStart w:id="1626" w:name="_Toc262483182"/>
      <w:bookmarkStart w:id="1627" w:name="_Toc262483317"/>
      <w:bookmarkStart w:id="1628" w:name="_Toc262483453"/>
      <w:bookmarkStart w:id="1629" w:name="_Toc262483589"/>
      <w:bookmarkStart w:id="1630" w:name="_Toc262483724"/>
      <w:bookmarkStart w:id="1631" w:name="_Toc262483859"/>
      <w:bookmarkStart w:id="1632" w:name="_Toc304736413"/>
      <w:bookmarkStart w:id="1633" w:name="_Toc304736647"/>
      <w:bookmarkStart w:id="1634" w:name="_Toc304736895"/>
      <w:bookmarkStart w:id="1635" w:name="_Toc304737201"/>
      <w:bookmarkStart w:id="1636" w:name="_Toc326700893"/>
      <w:bookmarkStart w:id="1637" w:name="_Toc326701531"/>
      <w:bookmarkStart w:id="1638" w:name="_Toc326730878"/>
      <w:bookmarkStart w:id="1639" w:name="_Toc326731064"/>
      <w:bookmarkStart w:id="1640" w:name="_Toc326731562"/>
      <w:bookmarkStart w:id="1641" w:name="_Toc326732474"/>
      <w:bookmarkStart w:id="1642" w:name="_Toc326734205"/>
      <w:bookmarkStart w:id="1643" w:name="_Toc326735154"/>
      <w:bookmarkStart w:id="1644" w:name="_Toc326735465"/>
      <w:bookmarkStart w:id="1645" w:name="_Toc343676036"/>
      <w:bookmarkStart w:id="1646" w:name="_Toc358619399"/>
      <w:bookmarkStart w:id="1647" w:name="_Toc358620664"/>
      <w:bookmarkStart w:id="1648" w:name="_Toc358621871"/>
      <w:bookmarkStart w:id="1649" w:name="_Toc358622848"/>
      <w:bookmarkStart w:id="1650" w:name="_Toc358622976"/>
      <w:bookmarkStart w:id="1651" w:name="_Toc390247906"/>
      <w:bookmarkStart w:id="1652" w:name="_Toc421258417"/>
      <w:bookmarkStart w:id="1653" w:name="_Toc421264485"/>
      <w:bookmarkStart w:id="1654" w:name="_Toc421264729"/>
      <w:bookmarkStart w:id="1655" w:name="_Toc421265044"/>
      <w:bookmarkStart w:id="1656" w:name="_Toc26357137"/>
      <w:bookmarkStart w:id="1657" w:name="_Toc138664926"/>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6A4410">
        <w:t>Información sobre la empresa emisora</w:t>
      </w:r>
      <w:bookmarkEnd w:id="1656"/>
      <w:bookmarkEnd w:id="1657"/>
    </w:p>
    <w:p w14:paraId="41AC4EB8" w14:textId="77777777" w:rsidR="00A65F5F" w:rsidRPr="00235F60" w:rsidRDefault="00A65F5F" w:rsidP="00A65F5F">
      <w:pPr>
        <w:pStyle w:val="Ttulo3"/>
        <w:rPr>
          <w:b/>
        </w:rPr>
      </w:pPr>
      <w:bookmarkStart w:id="1658" w:name="_Toc304737202"/>
      <w:bookmarkStart w:id="1659" w:name="_Toc343676037"/>
      <w:bookmarkStart w:id="1660" w:name="_Toc358619400"/>
      <w:bookmarkStart w:id="1661" w:name="_Toc358620665"/>
      <w:bookmarkStart w:id="1662" w:name="_Toc358621872"/>
      <w:bookmarkStart w:id="1663" w:name="_Toc358622849"/>
      <w:bookmarkStart w:id="1664" w:name="_Toc26357138"/>
      <w:bookmarkStart w:id="1665" w:name="_Toc138664927"/>
      <w:r w:rsidRPr="00235F60">
        <w:rPr>
          <w:b/>
        </w:rPr>
        <w:t>3.1 Historia y Desarrollo del Instituto Costarricense de Electricidad.</w:t>
      </w:r>
      <w:bookmarkStart w:id="1666" w:name="_Toc191377611"/>
      <w:bookmarkStart w:id="1667" w:name="_Toc192577358"/>
      <w:bookmarkStart w:id="1668" w:name="_Toc192591232"/>
      <w:bookmarkStart w:id="1669" w:name="_Toc192925740"/>
      <w:bookmarkStart w:id="1670" w:name="_Toc192925827"/>
      <w:bookmarkStart w:id="1671" w:name="_Toc192933482"/>
      <w:bookmarkStart w:id="1672" w:name="_Toc192933713"/>
      <w:bookmarkStart w:id="1673" w:name="_Toc193006294"/>
      <w:bookmarkStart w:id="1674" w:name="_Toc193006385"/>
      <w:bookmarkStart w:id="1675" w:name="_Toc193006475"/>
      <w:bookmarkStart w:id="1676" w:name="_Toc193006565"/>
      <w:bookmarkStart w:id="1677" w:name="_Toc193006655"/>
      <w:bookmarkStart w:id="1678" w:name="_Toc193006745"/>
      <w:bookmarkStart w:id="1679" w:name="_Toc193114037"/>
      <w:bookmarkStart w:id="1680" w:name="_Toc193185681"/>
      <w:bookmarkStart w:id="1681" w:name="_Toc193188568"/>
      <w:bookmarkStart w:id="1682" w:name="_Toc193200020"/>
      <w:bookmarkStart w:id="1683" w:name="_Toc197158882"/>
      <w:bookmarkStart w:id="1684" w:name="_Toc197160145"/>
      <w:bookmarkStart w:id="1685" w:name="_Toc197235610"/>
      <w:bookmarkStart w:id="1686" w:name="_Toc197235948"/>
      <w:bookmarkStart w:id="1687" w:name="_Toc199652829"/>
      <w:bookmarkStart w:id="1688" w:name="_Toc200335826"/>
      <w:bookmarkStart w:id="1689" w:name="_Toc206844784"/>
      <w:bookmarkStart w:id="1690" w:name="_Toc206905647"/>
      <w:bookmarkStart w:id="1691" w:name="_Toc207095749"/>
      <w:bookmarkStart w:id="1692" w:name="_Toc207098135"/>
      <w:bookmarkStart w:id="1693" w:name="_Toc207098328"/>
      <w:bookmarkStart w:id="1694" w:name="_Toc207098525"/>
      <w:bookmarkStart w:id="1695" w:name="_Toc207098625"/>
      <w:bookmarkStart w:id="1696" w:name="_Toc207098724"/>
      <w:bookmarkStart w:id="1697" w:name="_Toc207103385"/>
      <w:bookmarkStart w:id="1698" w:name="_Toc207178772"/>
      <w:bookmarkStart w:id="1699" w:name="_Toc208394652"/>
      <w:bookmarkStart w:id="1700" w:name="_Toc210618863"/>
      <w:bookmarkStart w:id="1701" w:name="_Toc210619145"/>
      <w:bookmarkStart w:id="1702" w:name="_Toc210619370"/>
      <w:bookmarkStart w:id="1703" w:name="_Toc210619877"/>
      <w:bookmarkStart w:id="1704" w:name="_Toc222025436"/>
      <w:bookmarkStart w:id="1705" w:name="_Toc222030372"/>
      <w:bookmarkStart w:id="1706" w:name="_Toc222135003"/>
      <w:bookmarkStart w:id="1707" w:name="_Toc222675424"/>
      <w:bookmarkStart w:id="1708" w:name="_Toc222828392"/>
      <w:bookmarkStart w:id="1709" w:name="_Toc222828489"/>
      <w:bookmarkStart w:id="1710" w:name="_Toc222887702"/>
      <w:bookmarkStart w:id="1711" w:name="_Toc222912170"/>
      <w:bookmarkStart w:id="1712" w:name="_Toc222915229"/>
      <w:bookmarkStart w:id="1713" w:name="_Toc222915323"/>
      <w:bookmarkStart w:id="1714" w:name="_Toc222919705"/>
      <w:bookmarkStart w:id="1715" w:name="_Toc222919799"/>
      <w:bookmarkStart w:id="1716" w:name="_Toc222919894"/>
      <w:bookmarkStart w:id="1717" w:name="_Toc222920197"/>
      <w:bookmarkStart w:id="1718" w:name="_Toc223164551"/>
      <w:bookmarkStart w:id="1719" w:name="_Toc223175984"/>
      <w:bookmarkStart w:id="1720" w:name="_Toc223337110"/>
      <w:bookmarkStart w:id="1721" w:name="_Toc223337203"/>
      <w:bookmarkStart w:id="1722" w:name="_Toc223342196"/>
      <w:bookmarkStart w:id="1723" w:name="_Toc223357561"/>
      <w:bookmarkStart w:id="1724" w:name="_Toc223357652"/>
      <w:bookmarkStart w:id="1725" w:name="_Toc223491426"/>
      <w:bookmarkStart w:id="1726" w:name="_Toc225051356"/>
      <w:bookmarkStart w:id="1727" w:name="_Toc225073446"/>
      <w:bookmarkStart w:id="1728" w:name="_Toc225078394"/>
      <w:bookmarkStart w:id="1729" w:name="_Toc225078485"/>
      <w:bookmarkStart w:id="1730" w:name="_Toc225079326"/>
      <w:bookmarkStart w:id="1731" w:name="_Toc225148952"/>
      <w:bookmarkStart w:id="1732" w:name="_Toc225149043"/>
      <w:bookmarkStart w:id="1733" w:name="_Toc225149134"/>
      <w:bookmarkStart w:id="1734" w:name="_Toc225154702"/>
      <w:bookmarkStart w:id="1735" w:name="_Toc225156216"/>
      <w:bookmarkStart w:id="1736" w:name="_Toc225160885"/>
      <w:bookmarkStart w:id="1737" w:name="_Toc225223125"/>
      <w:bookmarkStart w:id="1738" w:name="_Toc225241366"/>
      <w:bookmarkStart w:id="1739" w:name="_Toc225242751"/>
      <w:bookmarkStart w:id="1740" w:name="_Toc225242843"/>
      <w:bookmarkStart w:id="1741" w:name="_Toc225307349"/>
      <w:bookmarkStart w:id="1742" w:name="_Toc225307441"/>
      <w:bookmarkStart w:id="1743" w:name="_Toc225912345"/>
      <w:bookmarkStart w:id="1744" w:name="_Toc225912453"/>
      <w:bookmarkStart w:id="1745" w:name="_Toc225912545"/>
      <w:bookmarkStart w:id="1746" w:name="_Toc225912669"/>
      <w:bookmarkStart w:id="1747" w:name="_Toc225912761"/>
      <w:bookmarkStart w:id="1748" w:name="_Toc225912853"/>
      <w:bookmarkStart w:id="1749" w:name="_Toc225912945"/>
      <w:bookmarkStart w:id="1750" w:name="_Toc225913038"/>
      <w:bookmarkStart w:id="1751" w:name="_Toc225913203"/>
      <w:bookmarkStart w:id="1752" w:name="_Toc225913304"/>
      <w:bookmarkStart w:id="1753" w:name="_Toc225913524"/>
      <w:bookmarkStart w:id="1754" w:name="_Toc225913730"/>
      <w:bookmarkStart w:id="1755" w:name="_Toc225913826"/>
      <w:bookmarkStart w:id="1756" w:name="_Toc225913922"/>
      <w:bookmarkStart w:id="1757" w:name="_Toc225914018"/>
      <w:bookmarkStart w:id="1758" w:name="_Toc225914114"/>
      <w:bookmarkStart w:id="1759" w:name="_Toc225914241"/>
      <w:bookmarkStart w:id="1760" w:name="_Toc225914337"/>
      <w:bookmarkStart w:id="1761" w:name="_Toc225914611"/>
      <w:bookmarkStart w:id="1762" w:name="_Toc225914707"/>
      <w:bookmarkStart w:id="1763" w:name="_Toc225914803"/>
      <w:bookmarkStart w:id="1764" w:name="_Toc225914900"/>
      <w:bookmarkStart w:id="1765" w:name="_Toc225914997"/>
      <w:bookmarkStart w:id="1766" w:name="_Toc225915095"/>
      <w:bookmarkStart w:id="1767" w:name="_Toc225921463"/>
      <w:bookmarkStart w:id="1768" w:name="_Toc226779647"/>
      <w:bookmarkStart w:id="1769" w:name="_Toc226807219"/>
      <w:bookmarkStart w:id="1770" w:name="_Toc226807335"/>
      <w:bookmarkStart w:id="1771" w:name="_Toc226807449"/>
      <w:bookmarkStart w:id="1772" w:name="_Toc226807560"/>
      <w:bookmarkStart w:id="1773" w:name="_Toc226808447"/>
      <w:bookmarkStart w:id="1774" w:name="_Toc226808558"/>
      <w:bookmarkStart w:id="1775" w:name="_Toc191377612"/>
      <w:bookmarkStart w:id="1776" w:name="_Toc192577359"/>
      <w:bookmarkStart w:id="1777" w:name="_Toc192591233"/>
      <w:bookmarkStart w:id="1778" w:name="_Toc192925741"/>
      <w:bookmarkStart w:id="1779" w:name="_Toc192925828"/>
      <w:bookmarkStart w:id="1780" w:name="_Toc192933483"/>
      <w:bookmarkStart w:id="1781" w:name="_Toc192933714"/>
      <w:bookmarkStart w:id="1782" w:name="_Toc193006295"/>
      <w:bookmarkStart w:id="1783" w:name="_Toc193006386"/>
      <w:bookmarkStart w:id="1784" w:name="_Toc193006476"/>
      <w:bookmarkStart w:id="1785" w:name="_Toc193006566"/>
      <w:bookmarkStart w:id="1786" w:name="_Toc193006656"/>
      <w:bookmarkStart w:id="1787" w:name="_Toc193006746"/>
      <w:bookmarkStart w:id="1788" w:name="_Toc193114038"/>
      <w:bookmarkStart w:id="1789" w:name="_Toc193185682"/>
      <w:bookmarkStart w:id="1790" w:name="_Toc193188569"/>
      <w:bookmarkStart w:id="1791" w:name="_Toc193200021"/>
      <w:bookmarkStart w:id="1792" w:name="_Toc197158883"/>
      <w:bookmarkStart w:id="1793" w:name="_Toc197160146"/>
      <w:bookmarkStart w:id="1794" w:name="_Toc197235611"/>
      <w:bookmarkStart w:id="1795" w:name="_Toc197235949"/>
      <w:bookmarkStart w:id="1796" w:name="_Toc199652830"/>
      <w:bookmarkStart w:id="1797" w:name="_Toc200335827"/>
      <w:bookmarkStart w:id="1798" w:name="_Toc206844785"/>
      <w:bookmarkStart w:id="1799" w:name="_Toc206905648"/>
      <w:bookmarkStart w:id="1800" w:name="_Toc207095750"/>
      <w:bookmarkStart w:id="1801" w:name="_Toc207098136"/>
      <w:bookmarkStart w:id="1802" w:name="_Toc207098329"/>
      <w:bookmarkStart w:id="1803" w:name="_Toc207098526"/>
      <w:bookmarkStart w:id="1804" w:name="_Toc207098626"/>
      <w:bookmarkStart w:id="1805" w:name="_Toc207098725"/>
      <w:bookmarkStart w:id="1806" w:name="_Toc207103386"/>
      <w:bookmarkStart w:id="1807" w:name="_Toc207178773"/>
      <w:bookmarkStart w:id="1808" w:name="_Toc208394653"/>
      <w:bookmarkStart w:id="1809" w:name="_Toc210618864"/>
      <w:bookmarkStart w:id="1810" w:name="_Toc210619146"/>
      <w:bookmarkStart w:id="1811" w:name="_Toc210619371"/>
      <w:bookmarkStart w:id="1812" w:name="_Toc210619878"/>
      <w:bookmarkStart w:id="1813" w:name="_Toc222025437"/>
      <w:bookmarkStart w:id="1814" w:name="_Toc222030373"/>
      <w:bookmarkStart w:id="1815" w:name="_Toc222135004"/>
      <w:bookmarkStart w:id="1816" w:name="_Toc222675425"/>
      <w:bookmarkStart w:id="1817" w:name="_Toc222828393"/>
      <w:bookmarkStart w:id="1818" w:name="_Toc222828490"/>
      <w:bookmarkStart w:id="1819" w:name="_Toc222887703"/>
      <w:bookmarkStart w:id="1820" w:name="_Toc222912171"/>
      <w:bookmarkStart w:id="1821" w:name="_Toc222915230"/>
      <w:bookmarkStart w:id="1822" w:name="_Toc222915324"/>
      <w:bookmarkStart w:id="1823" w:name="_Toc222919706"/>
      <w:bookmarkStart w:id="1824" w:name="_Toc222919800"/>
      <w:bookmarkStart w:id="1825" w:name="_Toc222919895"/>
      <w:bookmarkStart w:id="1826" w:name="_Toc222920198"/>
      <w:bookmarkStart w:id="1827" w:name="_Toc223164552"/>
      <w:bookmarkStart w:id="1828" w:name="_Toc223175985"/>
      <w:bookmarkStart w:id="1829" w:name="_Toc223337111"/>
      <w:bookmarkStart w:id="1830" w:name="_Toc223337204"/>
      <w:bookmarkStart w:id="1831" w:name="_Toc223342197"/>
      <w:bookmarkStart w:id="1832" w:name="_Toc223357562"/>
      <w:bookmarkStart w:id="1833" w:name="_Toc223357653"/>
      <w:bookmarkStart w:id="1834" w:name="_Toc223491427"/>
      <w:bookmarkStart w:id="1835" w:name="_Toc225051357"/>
      <w:bookmarkStart w:id="1836" w:name="_Toc225073447"/>
      <w:bookmarkStart w:id="1837" w:name="_Toc225078395"/>
      <w:bookmarkStart w:id="1838" w:name="_Toc225078486"/>
      <w:bookmarkStart w:id="1839" w:name="_Toc225079327"/>
      <w:bookmarkStart w:id="1840" w:name="_Toc225148953"/>
      <w:bookmarkStart w:id="1841" w:name="_Toc225149044"/>
      <w:bookmarkStart w:id="1842" w:name="_Toc225149135"/>
      <w:bookmarkStart w:id="1843" w:name="_Toc225154703"/>
      <w:bookmarkStart w:id="1844" w:name="_Toc225156217"/>
      <w:bookmarkStart w:id="1845" w:name="_Toc225160886"/>
      <w:bookmarkStart w:id="1846" w:name="_Toc225223126"/>
      <w:bookmarkStart w:id="1847" w:name="_Toc225241367"/>
      <w:bookmarkStart w:id="1848" w:name="_Toc225242752"/>
      <w:bookmarkStart w:id="1849" w:name="_Toc225242844"/>
      <w:bookmarkStart w:id="1850" w:name="_Toc225307350"/>
      <w:bookmarkStart w:id="1851" w:name="_Toc225307442"/>
      <w:bookmarkStart w:id="1852" w:name="_Toc225912346"/>
      <w:bookmarkStart w:id="1853" w:name="_Toc225912454"/>
      <w:bookmarkStart w:id="1854" w:name="_Toc225912546"/>
      <w:bookmarkStart w:id="1855" w:name="_Toc225912670"/>
      <w:bookmarkStart w:id="1856" w:name="_Toc225912762"/>
      <w:bookmarkStart w:id="1857" w:name="_Toc225912854"/>
      <w:bookmarkStart w:id="1858" w:name="_Toc225912946"/>
      <w:bookmarkStart w:id="1859" w:name="_Toc225913039"/>
      <w:bookmarkStart w:id="1860" w:name="_Toc225913204"/>
      <w:bookmarkStart w:id="1861" w:name="_Toc225913305"/>
      <w:bookmarkStart w:id="1862" w:name="_Toc225913525"/>
      <w:bookmarkStart w:id="1863" w:name="_Toc225913731"/>
      <w:bookmarkStart w:id="1864" w:name="_Toc225913827"/>
      <w:bookmarkStart w:id="1865" w:name="_Toc225913923"/>
      <w:bookmarkStart w:id="1866" w:name="_Toc225914019"/>
      <w:bookmarkStart w:id="1867" w:name="_Toc225914115"/>
      <w:bookmarkStart w:id="1868" w:name="_Toc225914242"/>
      <w:bookmarkStart w:id="1869" w:name="_Toc225914338"/>
      <w:bookmarkStart w:id="1870" w:name="_Toc225914612"/>
      <w:bookmarkStart w:id="1871" w:name="_Toc225914708"/>
      <w:bookmarkStart w:id="1872" w:name="_Toc225914804"/>
      <w:bookmarkStart w:id="1873" w:name="_Toc225914901"/>
      <w:bookmarkStart w:id="1874" w:name="_Toc225914998"/>
      <w:bookmarkStart w:id="1875" w:name="_Toc225915096"/>
      <w:bookmarkStart w:id="1876" w:name="_Toc225921464"/>
      <w:bookmarkStart w:id="1877" w:name="_Toc226779648"/>
      <w:bookmarkStart w:id="1878" w:name="_Toc226807220"/>
      <w:bookmarkStart w:id="1879" w:name="_Toc226807336"/>
      <w:bookmarkStart w:id="1880" w:name="_Toc226807450"/>
      <w:bookmarkStart w:id="1881" w:name="_Toc226807561"/>
      <w:bookmarkStart w:id="1882" w:name="_Toc226808448"/>
      <w:bookmarkStart w:id="1883" w:name="_Toc226808559"/>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0A54C10A" w14:textId="77777777" w:rsidR="00A65F5F" w:rsidRPr="009147BF" w:rsidRDefault="00A65F5F" w:rsidP="00A65F5F"/>
    <w:p w14:paraId="707E4817" w14:textId="77777777" w:rsidR="00A65F5F" w:rsidRPr="00670E95" w:rsidRDefault="00A65F5F" w:rsidP="00EF0D70">
      <w:pPr>
        <w:pStyle w:val="Ttulo3"/>
        <w:numPr>
          <w:ilvl w:val="2"/>
          <w:numId w:val="28"/>
        </w:numPr>
        <w:ind w:left="142" w:hanging="709"/>
      </w:pPr>
      <w:bookmarkStart w:id="1884" w:name="_Toc304737203"/>
      <w:bookmarkStart w:id="1885" w:name="_Toc343676038"/>
      <w:bookmarkStart w:id="1886" w:name="_Toc358619401"/>
      <w:bookmarkStart w:id="1887" w:name="_Toc358620666"/>
      <w:bookmarkStart w:id="1888" w:name="_Toc358621873"/>
      <w:bookmarkStart w:id="1889" w:name="_Toc358622850"/>
      <w:bookmarkStart w:id="1890" w:name="_Toc26357139"/>
      <w:bookmarkStart w:id="1891" w:name="_Toc138664928"/>
      <w:r w:rsidRPr="00670E95">
        <w:t>Razón Social</w:t>
      </w:r>
      <w:bookmarkEnd w:id="1884"/>
      <w:bookmarkEnd w:id="1885"/>
      <w:bookmarkEnd w:id="1886"/>
      <w:bookmarkEnd w:id="1887"/>
      <w:bookmarkEnd w:id="1888"/>
      <w:bookmarkEnd w:id="1889"/>
      <w:bookmarkEnd w:id="1890"/>
      <w:bookmarkEnd w:id="1891"/>
    </w:p>
    <w:p w14:paraId="37A081AF" w14:textId="77777777" w:rsidR="00A65F5F" w:rsidRDefault="00A65F5F" w:rsidP="00A65F5F">
      <w:pPr>
        <w:ind w:left="-540" w:right="-25"/>
      </w:pPr>
    </w:p>
    <w:p w14:paraId="239BDCA2" w14:textId="77777777" w:rsidR="00A65F5F" w:rsidRPr="00670E95" w:rsidRDefault="00A65F5F" w:rsidP="00A65F5F">
      <w:pPr>
        <w:ind w:left="-540" w:right="-25"/>
      </w:pPr>
      <w:r>
        <w:t>Instituto Costarricense de Electricidad</w:t>
      </w:r>
    </w:p>
    <w:p w14:paraId="2D6C0653" w14:textId="77777777" w:rsidR="00A65F5F" w:rsidRPr="00670E95" w:rsidRDefault="00A65F5F" w:rsidP="00A65F5F">
      <w:pPr>
        <w:ind w:left="-540" w:right="-25"/>
      </w:pPr>
    </w:p>
    <w:p w14:paraId="243B5EF8" w14:textId="77777777" w:rsidR="00A65F5F" w:rsidRPr="00670E95" w:rsidRDefault="00A65F5F" w:rsidP="00EF0D70">
      <w:pPr>
        <w:pStyle w:val="Ttulo3"/>
        <w:numPr>
          <w:ilvl w:val="2"/>
          <w:numId w:val="29"/>
        </w:numPr>
        <w:ind w:left="-567" w:firstLine="0"/>
      </w:pPr>
      <w:bookmarkStart w:id="1892" w:name="_Toc262483185"/>
      <w:bookmarkStart w:id="1893" w:name="_Toc262483320"/>
      <w:bookmarkStart w:id="1894" w:name="_Toc262483456"/>
      <w:bookmarkStart w:id="1895" w:name="_Toc262483592"/>
      <w:bookmarkStart w:id="1896" w:name="_Toc262483727"/>
      <w:bookmarkStart w:id="1897" w:name="_Toc262483862"/>
      <w:bookmarkStart w:id="1898" w:name="_Toc304737204"/>
      <w:bookmarkStart w:id="1899" w:name="_Toc343676039"/>
      <w:bookmarkStart w:id="1900" w:name="_Toc358619402"/>
      <w:bookmarkStart w:id="1901" w:name="_Toc358620667"/>
      <w:bookmarkStart w:id="1902" w:name="_Toc358621874"/>
      <w:bookmarkStart w:id="1903" w:name="_Toc358622851"/>
      <w:bookmarkStart w:id="1904" w:name="_Toc26357140"/>
      <w:bookmarkStart w:id="1905" w:name="_Toc138664929"/>
      <w:bookmarkEnd w:id="1892"/>
      <w:bookmarkEnd w:id="1893"/>
      <w:bookmarkEnd w:id="1894"/>
      <w:bookmarkEnd w:id="1895"/>
      <w:bookmarkEnd w:id="1896"/>
      <w:bookmarkEnd w:id="1897"/>
      <w:r w:rsidRPr="00670E95">
        <w:t>Nombre comercial</w:t>
      </w:r>
      <w:bookmarkEnd w:id="1898"/>
      <w:bookmarkEnd w:id="1899"/>
      <w:bookmarkEnd w:id="1900"/>
      <w:bookmarkEnd w:id="1901"/>
      <w:bookmarkEnd w:id="1902"/>
      <w:bookmarkEnd w:id="1903"/>
      <w:bookmarkEnd w:id="1904"/>
      <w:bookmarkEnd w:id="1905"/>
    </w:p>
    <w:p w14:paraId="14B70825" w14:textId="77777777" w:rsidR="00A65F5F" w:rsidRPr="00670E95" w:rsidRDefault="00A65F5F" w:rsidP="00A65F5F">
      <w:pPr>
        <w:ind w:left="-540" w:right="-25"/>
      </w:pPr>
    </w:p>
    <w:p w14:paraId="4CC021D2" w14:textId="77777777" w:rsidR="00A65F5F" w:rsidRPr="00670E95" w:rsidRDefault="00A65F5F" w:rsidP="00A65F5F">
      <w:pPr>
        <w:ind w:left="-540" w:right="-25"/>
      </w:pPr>
      <w:r w:rsidRPr="00670E95">
        <w:t>El nombre comercial de la empresa es el mismo nombre de la sociedad.</w:t>
      </w:r>
    </w:p>
    <w:p w14:paraId="01DE5FD7" w14:textId="77777777" w:rsidR="00A65F5F" w:rsidRPr="00670E95" w:rsidRDefault="00A65F5F" w:rsidP="00A65F5F">
      <w:pPr>
        <w:ind w:left="-540" w:right="-25"/>
      </w:pPr>
    </w:p>
    <w:p w14:paraId="4B0F79D2" w14:textId="77777777" w:rsidR="00A65F5F" w:rsidRPr="00670E95" w:rsidRDefault="00A65F5F" w:rsidP="00EF0D70">
      <w:pPr>
        <w:pStyle w:val="Ttulo3"/>
        <w:numPr>
          <w:ilvl w:val="2"/>
          <w:numId w:val="30"/>
        </w:numPr>
        <w:ind w:left="-567" w:firstLine="0"/>
      </w:pPr>
      <w:bookmarkStart w:id="1906" w:name="_Toc304737205"/>
      <w:bookmarkStart w:id="1907" w:name="_Toc343676040"/>
      <w:bookmarkStart w:id="1908" w:name="_Toc358619403"/>
      <w:bookmarkStart w:id="1909" w:name="_Toc358620668"/>
      <w:bookmarkStart w:id="1910" w:name="_Toc358621875"/>
      <w:bookmarkStart w:id="1911" w:name="_Toc358622852"/>
      <w:bookmarkStart w:id="1912" w:name="_Toc26357141"/>
      <w:bookmarkStart w:id="1913" w:name="_Toc138664930"/>
      <w:r w:rsidRPr="00670E95">
        <w:t>Jurisdicción bajo la cual está constituida</w:t>
      </w:r>
      <w:bookmarkEnd w:id="1906"/>
      <w:bookmarkEnd w:id="1907"/>
      <w:bookmarkEnd w:id="1908"/>
      <w:bookmarkEnd w:id="1909"/>
      <w:bookmarkEnd w:id="1910"/>
      <w:bookmarkEnd w:id="1911"/>
      <w:bookmarkEnd w:id="1912"/>
      <w:bookmarkEnd w:id="1913"/>
    </w:p>
    <w:p w14:paraId="2BC14868" w14:textId="77777777" w:rsidR="00A65F5F" w:rsidRPr="00670E95" w:rsidRDefault="00A65F5F" w:rsidP="00A65F5F">
      <w:pPr>
        <w:ind w:left="-540" w:right="-25"/>
      </w:pPr>
    </w:p>
    <w:p w14:paraId="31038377" w14:textId="77777777" w:rsidR="00A65F5F" w:rsidRPr="00670E95" w:rsidRDefault="00A65F5F" w:rsidP="00A65F5F">
      <w:pPr>
        <w:ind w:left="-540" w:right="-25"/>
      </w:pPr>
      <w:r>
        <w:t>El Instituto Costarricense de Electricidad es una entidad autónoma del Estado de Costa Rica, constituida bajo la jurisdicción costarricense</w:t>
      </w:r>
      <w:r w:rsidRPr="00670E95">
        <w:t>.</w:t>
      </w:r>
    </w:p>
    <w:p w14:paraId="6ED74338" w14:textId="77777777" w:rsidR="00A65F5F" w:rsidRPr="00670E95" w:rsidRDefault="00A65F5F" w:rsidP="00A65F5F">
      <w:pPr>
        <w:ind w:left="-540" w:right="-25"/>
      </w:pPr>
    </w:p>
    <w:p w14:paraId="533AB720" w14:textId="77777777" w:rsidR="00A65F5F" w:rsidRPr="005C64C1" w:rsidRDefault="00A65F5F" w:rsidP="00EF0D70">
      <w:pPr>
        <w:pStyle w:val="Ttulo3"/>
        <w:numPr>
          <w:ilvl w:val="2"/>
          <w:numId w:val="31"/>
        </w:numPr>
        <w:ind w:left="142" w:hanging="709"/>
      </w:pPr>
      <w:bookmarkStart w:id="1914" w:name="_Toc304737206"/>
      <w:bookmarkStart w:id="1915" w:name="_Toc343676041"/>
      <w:bookmarkStart w:id="1916" w:name="_Toc358619404"/>
      <w:bookmarkStart w:id="1917" w:name="_Toc358620669"/>
      <w:bookmarkStart w:id="1918" w:name="_Toc358621876"/>
      <w:bookmarkStart w:id="1919" w:name="_Toc358622853"/>
      <w:bookmarkStart w:id="1920" w:name="_Toc26357142"/>
      <w:bookmarkStart w:id="1921" w:name="_Toc138664931"/>
      <w:r>
        <w:t xml:space="preserve">Fecha de constitución </w:t>
      </w:r>
      <w:r w:rsidRPr="005C64C1">
        <w:t>y cita de Inscripción del Registro Público</w:t>
      </w:r>
      <w:bookmarkEnd w:id="1914"/>
      <w:bookmarkEnd w:id="1915"/>
      <w:bookmarkEnd w:id="1916"/>
      <w:bookmarkEnd w:id="1917"/>
      <w:bookmarkEnd w:id="1918"/>
      <w:bookmarkEnd w:id="1919"/>
      <w:bookmarkEnd w:id="1920"/>
      <w:bookmarkEnd w:id="1921"/>
    </w:p>
    <w:p w14:paraId="0E90232A" w14:textId="77777777" w:rsidR="00A65F5F" w:rsidRPr="005C64C1" w:rsidRDefault="00A65F5F" w:rsidP="00A65F5F">
      <w:pPr>
        <w:ind w:left="-540" w:right="-25"/>
      </w:pPr>
    </w:p>
    <w:p w14:paraId="4AA1C23F" w14:textId="77777777" w:rsidR="00A65F5F" w:rsidRPr="005C64C1" w:rsidRDefault="00A65F5F" w:rsidP="00A65F5F">
      <w:pPr>
        <w:ind w:left="-540" w:right="-25"/>
      </w:pPr>
      <w:r w:rsidRPr="005C64C1">
        <w:t>El ICE es una entidad constitu</w:t>
      </w:r>
      <w:r>
        <w:t>i</w:t>
      </w:r>
      <w:r w:rsidRPr="005C64C1">
        <w:t>da</w:t>
      </w:r>
      <w:r>
        <w:t xml:space="preserve"> mediante Decreto-Ley</w:t>
      </w:r>
      <w:r w:rsidRPr="005C64C1">
        <w:t xml:space="preserve"> </w:t>
      </w:r>
      <w:r>
        <w:t xml:space="preserve">Nº 449 del </w:t>
      </w:r>
      <w:r w:rsidRPr="002B4304">
        <w:t>8 de abril</w:t>
      </w:r>
      <w:r>
        <w:t xml:space="preserve"> de 1949 y Ley 3226 del 28 de octubre de 1963. La entidad está i</w:t>
      </w:r>
      <w:r w:rsidRPr="005C64C1">
        <w:t>nscrita en la Sección Personas del Registro Público, al tomo 118, folio 255, asiento 781</w:t>
      </w:r>
    </w:p>
    <w:p w14:paraId="3AA5C95F" w14:textId="77777777" w:rsidR="00A65F5F" w:rsidRPr="005C64C1" w:rsidRDefault="00A65F5F" w:rsidP="00A65F5F">
      <w:pPr>
        <w:ind w:left="-540" w:right="-25"/>
      </w:pPr>
    </w:p>
    <w:p w14:paraId="052B1D3A" w14:textId="77777777" w:rsidR="00A65F5F" w:rsidRPr="005C64C1" w:rsidRDefault="00A65F5F" w:rsidP="00EF0D70">
      <w:pPr>
        <w:pStyle w:val="Ttulo3"/>
        <w:numPr>
          <w:ilvl w:val="2"/>
          <w:numId w:val="32"/>
        </w:numPr>
        <w:ind w:left="-567" w:firstLine="0"/>
      </w:pPr>
      <w:bookmarkStart w:id="1922" w:name="_Toc304737207"/>
      <w:bookmarkStart w:id="1923" w:name="_Toc343676042"/>
      <w:bookmarkStart w:id="1924" w:name="_Toc358619405"/>
      <w:bookmarkStart w:id="1925" w:name="_Toc358620670"/>
      <w:bookmarkStart w:id="1926" w:name="_Toc358621877"/>
      <w:bookmarkStart w:id="1927" w:name="_Toc358622854"/>
      <w:bookmarkStart w:id="1928" w:name="_Toc26357143"/>
      <w:bookmarkStart w:id="1929" w:name="_Toc138664932"/>
      <w:r w:rsidRPr="005C64C1">
        <w:t>Número de Cédula Jurídica</w:t>
      </w:r>
      <w:bookmarkEnd w:id="1922"/>
      <w:bookmarkEnd w:id="1923"/>
      <w:bookmarkEnd w:id="1924"/>
      <w:bookmarkEnd w:id="1925"/>
      <w:bookmarkEnd w:id="1926"/>
      <w:bookmarkEnd w:id="1927"/>
      <w:bookmarkEnd w:id="1928"/>
      <w:bookmarkEnd w:id="1929"/>
      <w:r w:rsidRPr="005C64C1">
        <w:t xml:space="preserve"> </w:t>
      </w:r>
    </w:p>
    <w:p w14:paraId="620CFA22" w14:textId="77777777" w:rsidR="00A65F5F" w:rsidRPr="00670E95" w:rsidRDefault="00A65F5F" w:rsidP="00A65F5F">
      <w:pPr>
        <w:ind w:left="-540" w:right="-25"/>
      </w:pPr>
    </w:p>
    <w:p w14:paraId="26E4CFCE" w14:textId="77777777" w:rsidR="00A65F5F" w:rsidRPr="00670E95" w:rsidRDefault="00A65F5F" w:rsidP="00A65F5F">
      <w:pPr>
        <w:ind w:left="-540" w:right="-25"/>
      </w:pPr>
      <w:r>
        <w:t>4-000-042139-02</w:t>
      </w:r>
    </w:p>
    <w:p w14:paraId="3304E96E" w14:textId="77777777" w:rsidR="00A65F5F" w:rsidRDefault="00A65F5F" w:rsidP="00A65F5F">
      <w:pPr>
        <w:ind w:left="-540" w:right="-25"/>
      </w:pPr>
    </w:p>
    <w:p w14:paraId="5E7BE166" w14:textId="77777777" w:rsidR="00A65F5F" w:rsidRPr="00670E95" w:rsidRDefault="00A65F5F" w:rsidP="00EF0D70">
      <w:pPr>
        <w:pStyle w:val="Ttulo3"/>
        <w:numPr>
          <w:ilvl w:val="2"/>
          <w:numId w:val="33"/>
        </w:numPr>
        <w:ind w:left="142" w:hanging="709"/>
      </w:pPr>
      <w:bookmarkStart w:id="1930" w:name="_Toc234925841"/>
      <w:bookmarkStart w:id="1931" w:name="_Toc235615272"/>
      <w:bookmarkStart w:id="1932" w:name="_Toc235616760"/>
      <w:bookmarkStart w:id="1933" w:name="_Toc234925843"/>
      <w:bookmarkStart w:id="1934" w:name="_Toc235615274"/>
      <w:bookmarkStart w:id="1935" w:name="_Toc235616762"/>
      <w:bookmarkStart w:id="1936" w:name="_Toc234925845"/>
      <w:bookmarkStart w:id="1937" w:name="_Toc235615276"/>
      <w:bookmarkStart w:id="1938" w:name="_Toc235616764"/>
      <w:bookmarkStart w:id="1939" w:name="_Toc234925846"/>
      <w:bookmarkStart w:id="1940" w:name="_Toc235615277"/>
      <w:bookmarkStart w:id="1941" w:name="_Toc235616765"/>
      <w:bookmarkStart w:id="1942" w:name="_Toc304737208"/>
      <w:bookmarkStart w:id="1943" w:name="_Toc343676043"/>
      <w:bookmarkStart w:id="1944" w:name="_Toc358619406"/>
      <w:bookmarkStart w:id="1945" w:name="_Toc358620671"/>
      <w:bookmarkStart w:id="1946" w:name="_Toc358621878"/>
      <w:bookmarkStart w:id="1947" w:name="_Toc358622855"/>
      <w:bookmarkStart w:id="1948" w:name="_Toc26357144"/>
      <w:bookmarkStart w:id="1949" w:name="_Toc138664933"/>
      <w:bookmarkEnd w:id="1930"/>
      <w:bookmarkEnd w:id="1931"/>
      <w:bookmarkEnd w:id="1932"/>
      <w:bookmarkEnd w:id="1933"/>
      <w:bookmarkEnd w:id="1934"/>
      <w:bookmarkEnd w:id="1935"/>
      <w:bookmarkEnd w:id="1936"/>
      <w:bookmarkEnd w:id="1937"/>
      <w:bookmarkEnd w:id="1938"/>
      <w:bookmarkEnd w:id="1939"/>
      <w:bookmarkEnd w:id="1940"/>
      <w:bookmarkEnd w:id="1941"/>
      <w:r>
        <w:t>Composición del capital</w:t>
      </w:r>
      <w:bookmarkEnd w:id="1942"/>
      <w:bookmarkEnd w:id="1943"/>
      <w:bookmarkEnd w:id="1944"/>
      <w:bookmarkEnd w:id="1945"/>
      <w:bookmarkEnd w:id="1946"/>
      <w:bookmarkEnd w:id="1947"/>
      <w:bookmarkEnd w:id="1948"/>
      <w:bookmarkEnd w:id="1949"/>
    </w:p>
    <w:p w14:paraId="5182E7FC" w14:textId="77777777" w:rsidR="00A65F5F" w:rsidRPr="00670E95" w:rsidRDefault="00A65F5F" w:rsidP="00A65F5F">
      <w:pPr>
        <w:ind w:left="720" w:right="-25"/>
        <w:rPr>
          <w:rFonts w:ascii="Arial" w:hAnsi="Arial" w:cs="Arial"/>
          <w:bCs/>
          <w:sz w:val="22"/>
          <w:szCs w:val="26"/>
        </w:rPr>
      </w:pPr>
    </w:p>
    <w:p w14:paraId="260A97E6" w14:textId="77777777" w:rsidR="00A65F5F" w:rsidRPr="00670E95" w:rsidRDefault="00A65F5F" w:rsidP="00A65F5F">
      <w:pPr>
        <w:ind w:left="-540" w:right="-25"/>
      </w:pPr>
      <w:r>
        <w:t>El Instituto Costarricense de Electricidad es una entidad propiedad 100% del Gobierno de Costa Rica</w:t>
      </w:r>
      <w:r w:rsidRPr="00670E95">
        <w:t>.</w:t>
      </w:r>
      <w:r>
        <w:t xml:space="preserve">  Es una entidad autónoma del Estado costarricense.</w:t>
      </w:r>
    </w:p>
    <w:p w14:paraId="7F7214DD" w14:textId="77777777" w:rsidR="00A65F5F" w:rsidRDefault="00A65F5F" w:rsidP="00A65F5F">
      <w:pPr>
        <w:ind w:left="-540" w:right="-25"/>
      </w:pPr>
    </w:p>
    <w:p w14:paraId="569758F8" w14:textId="77777777" w:rsidR="00A65F5F" w:rsidRPr="00670E95" w:rsidRDefault="00A65F5F" w:rsidP="00EF0D70">
      <w:pPr>
        <w:pStyle w:val="Ttulo3"/>
        <w:numPr>
          <w:ilvl w:val="2"/>
          <w:numId w:val="34"/>
        </w:numPr>
        <w:ind w:left="-567" w:firstLine="0"/>
      </w:pPr>
      <w:bookmarkStart w:id="1950" w:name="_Toc304737209"/>
      <w:bookmarkStart w:id="1951" w:name="_Toc343676044"/>
      <w:bookmarkStart w:id="1952" w:name="_Toc358619407"/>
      <w:bookmarkStart w:id="1953" w:name="_Toc358620672"/>
      <w:bookmarkStart w:id="1954" w:name="_Toc358621879"/>
      <w:bookmarkStart w:id="1955" w:name="_Toc358622856"/>
      <w:bookmarkStart w:id="1956" w:name="_Toc26357145"/>
      <w:bookmarkStart w:id="1957" w:name="_Toc138664934"/>
      <w:r w:rsidRPr="00670E95">
        <w:t>Domicilio Legal</w:t>
      </w:r>
      <w:bookmarkEnd w:id="1950"/>
      <w:bookmarkEnd w:id="1951"/>
      <w:bookmarkEnd w:id="1952"/>
      <w:bookmarkEnd w:id="1953"/>
      <w:bookmarkEnd w:id="1954"/>
      <w:bookmarkEnd w:id="1955"/>
      <w:bookmarkEnd w:id="1956"/>
      <w:bookmarkEnd w:id="1957"/>
    </w:p>
    <w:p w14:paraId="073D1783" w14:textId="77777777" w:rsidR="00A65F5F" w:rsidRPr="00670E95" w:rsidRDefault="00A65F5F" w:rsidP="00A65F5F">
      <w:pPr>
        <w:ind w:left="-540" w:right="-25"/>
      </w:pPr>
    </w:p>
    <w:p w14:paraId="4DBBA1E7" w14:textId="77777777" w:rsidR="00A65F5F" w:rsidRPr="00670E95" w:rsidRDefault="00A65F5F" w:rsidP="00A65F5F">
      <w:pPr>
        <w:ind w:left="-540" w:right="-25"/>
      </w:pPr>
      <w:r w:rsidRPr="00D44FBC">
        <w:t xml:space="preserve">El Instituto Costarricense de Electricidad tiene ubicada sus oficinas centrales, en Sabana Norte, </w:t>
      </w:r>
      <w:r>
        <w:t xml:space="preserve">distrito Mata Redonda de la ciudad de </w:t>
      </w:r>
      <w:r w:rsidRPr="00D44FBC">
        <w:t>San José, Costa Rica</w:t>
      </w:r>
      <w:r w:rsidRPr="00670E95">
        <w:t xml:space="preserve">. </w:t>
      </w:r>
    </w:p>
    <w:p w14:paraId="323F064B" w14:textId="77777777" w:rsidR="00A65F5F" w:rsidRDefault="00A65F5F" w:rsidP="00A65F5F">
      <w:pPr>
        <w:ind w:left="-540" w:right="-25"/>
      </w:pPr>
    </w:p>
    <w:p w14:paraId="36E129E3" w14:textId="77777777" w:rsidR="00A65F5F" w:rsidRPr="00670E95" w:rsidRDefault="00A65F5F" w:rsidP="00EF0D70">
      <w:pPr>
        <w:pStyle w:val="Ttulo3"/>
        <w:numPr>
          <w:ilvl w:val="2"/>
          <w:numId w:val="35"/>
        </w:numPr>
        <w:ind w:left="-567" w:firstLine="0"/>
      </w:pPr>
      <w:bookmarkStart w:id="1958" w:name="_Toc304737210"/>
      <w:bookmarkStart w:id="1959" w:name="_Toc343676045"/>
      <w:bookmarkStart w:id="1960" w:name="_Toc358619408"/>
      <w:bookmarkStart w:id="1961" w:name="_Toc358620673"/>
      <w:bookmarkStart w:id="1962" w:name="_Toc358621880"/>
      <w:bookmarkStart w:id="1963" w:name="_Toc358622857"/>
      <w:bookmarkStart w:id="1964" w:name="_Toc26357146"/>
      <w:bookmarkStart w:id="1965" w:name="_Toc138664935"/>
      <w:r w:rsidRPr="00670E95">
        <w:t>Fecha de cierre fiscal y económico</w:t>
      </w:r>
      <w:bookmarkEnd w:id="1958"/>
      <w:bookmarkEnd w:id="1959"/>
      <w:bookmarkEnd w:id="1960"/>
      <w:bookmarkEnd w:id="1961"/>
      <w:bookmarkEnd w:id="1962"/>
      <w:bookmarkEnd w:id="1963"/>
      <w:bookmarkEnd w:id="1964"/>
      <w:bookmarkEnd w:id="1965"/>
    </w:p>
    <w:p w14:paraId="7710BD9B" w14:textId="77777777" w:rsidR="00A65F5F" w:rsidRPr="00670E95" w:rsidRDefault="00A65F5F" w:rsidP="00A65F5F">
      <w:pPr>
        <w:ind w:left="-540" w:right="-25"/>
      </w:pPr>
    </w:p>
    <w:p w14:paraId="5846E2D6" w14:textId="77777777" w:rsidR="00A65F5F" w:rsidRPr="00670E95" w:rsidRDefault="00A65F5F" w:rsidP="00A65F5F">
      <w:pPr>
        <w:numPr>
          <w:ilvl w:val="0"/>
          <w:numId w:val="10"/>
        </w:numPr>
        <w:ind w:right="-25"/>
      </w:pPr>
      <w:r>
        <w:t>d</w:t>
      </w:r>
      <w:r w:rsidRPr="00670E95">
        <w:t>e Diciembre de cada año</w:t>
      </w:r>
    </w:p>
    <w:p w14:paraId="32790B94" w14:textId="77777777" w:rsidR="00A65F5F" w:rsidRDefault="00A65F5F" w:rsidP="00A65F5F">
      <w:pPr>
        <w:ind w:left="-540" w:right="-25"/>
      </w:pPr>
    </w:p>
    <w:p w14:paraId="68BDEC74" w14:textId="77777777" w:rsidR="00A65F5F" w:rsidRPr="006967A3" w:rsidRDefault="00A65F5F" w:rsidP="00EF0D70">
      <w:pPr>
        <w:pStyle w:val="Ttulo3"/>
        <w:numPr>
          <w:ilvl w:val="2"/>
          <w:numId w:val="36"/>
        </w:numPr>
        <w:ind w:left="-567" w:firstLine="0"/>
      </w:pPr>
      <w:bookmarkStart w:id="1966" w:name="_Toc304737211"/>
      <w:bookmarkStart w:id="1967" w:name="_Toc343676046"/>
      <w:bookmarkStart w:id="1968" w:name="_Toc358619409"/>
      <w:bookmarkStart w:id="1969" w:name="_Toc358620674"/>
      <w:bookmarkStart w:id="1970" w:name="_Toc358621881"/>
      <w:bookmarkStart w:id="1971" w:name="_Toc358622858"/>
      <w:bookmarkStart w:id="1972" w:name="_Toc26357147"/>
      <w:bookmarkStart w:id="1973" w:name="_Toc138664936"/>
      <w:r w:rsidRPr="006967A3">
        <w:t>Auditoría Externa</w:t>
      </w:r>
      <w:bookmarkEnd w:id="1966"/>
      <w:bookmarkEnd w:id="1967"/>
      <w:bookmarkEnd w:id="1968"/>
      <w:bookmarkEnd w:id="1969"/>
      <w:bookmarkEnd w:id="1970"/>
      <w:bookmarkEnd w:id="1971"/>
      <w:bookmarkEnd w:id="1972"/>
      <w:bookmarkEnd w:id="1973"/>
    </w:p>
    <w:p w14:paraId="5925071D" w14:textId="77777777" w:rsidR="00A65F5F" w:rsidRPr="006967A3" w:rsidRDefault="00A65F5F" w:rsidP="00A65F5F">
      <w:pPr>
        <w:ind w:left="-540" w:right="-25"/>
      </w:pPr>
    </w:p>
    <w:p w14:paraId="7C8ECFBA" w14:textId="77777777" w:rsidR="00A65F5F" w:rsidRPr="00670E95" w:rsidRDefault="00A65F5F" w:rsidP="00A65F5F">
      <w:pPr>
        <w:ind w:left="-540" w:right="-25"/>
      </w:pPr>
      <w:r>
        <w:t>KPMG</w:t>
      </w:r>
      <w:r w:rsidRPr="006967A3">
        <w:t>, S.A.</w:t>
      </w:r>
    </w:p>
    <w:p w14:paraId="0DC41DDE" w14:textId="77777777" w:rsidR="00A65F5F" w:rsidRPr="00670E95" w:rsidRDefault="00A65F5F" w:rsidP="00A65F5F">
      <w:pPr>
        <w:ind w:left="-540" w:right="-25"/>
      </w:pPr>
    </w:p>
    <w:p w14:paraId="37BA7489" w14:textId="77777777" w:rsidR="00A65F5F" w:rsidRPr="00D661FE" w:rsidRDefault="00A65F5F" w:rsidP="00EF0D70">
      <w:pPr>
        <w:pStyle w:val="Ttulo3"/>
        <w:numPr>
          <w:ilvl w:val="2"/>
          <w:numId w:val="37"/>
        </w:numPr>
        <w:ind w:left="-567" w:firstLine="0"/>
      </w:pPr>
      <w:bookmarkStart w:id="1974" w:name="_Toc304737212"/>
      <w:bookmarkStart w:id="1975" w:name="_Toc343676047"/>
      <w:bookmarkStart w:id="1976" w:name="_Toc358619410"/>
      <w:bookmarkStart w:id="1977" w:name="_Toc358620675"/>
      <w:bookmarkStart w:id="1978" w:name="_Toc358621882"/>
      <w:bookmarkStart w:id="1979" w:name="_Toc358622859"/>
      <w:bookmarkStart w:id="1980" w:name="_Toc26357148"/>
      <w:bookmarkStart w:id="1981" w:name="_Toc138664937"/>
      <w:r w:rsidRPr="00D661FE">
        <w:t>Asesor Legal</w:t>
      </w:r>
      <w:bookmarkEnd w:id="1974"/>
      <w:bookmarkEnd w:id="1975"/>
      <w:bookmarkEnd w:id="1976"/>
      <w:bookmarkEnd w:id="1977"/>
      <w:bookmarkEnd w:id="1978"/>
      <w:bookmarkEnd w:id="1979"/>
      <w:bookmarkEnd w:id="1980"/>
      <w:bookmarkEnd w:id="1981"/>
    </w:p>
    <w:p w14:paraId="07159007" w14:textId="77777777" w:rsidR="00A65F5F" w:rsidRPr="008E7C61" w:rsidRDefault="00A65F5F" w:rsidP="00A65F5F">
      <w:pPr>
        <w:ind w:left="-540" w:right="-25"/>
      </w:pPr>
    </w:p>
    <w:p w14:paraId="6143115E" w14:textId="77777777" w:rsidR="00A65F5F" w:rsidRPr="00670E95" w:rsidRDefault="00A65F5F" w:rsidP="00A65F5F">
      <w:pPr>
        <w:ind w:left="-540" w:right="-25"/>
      </w:pPr>
      <w:r w:rsidRPr="00830ED5">
        <w:t xml:space="preserve">El ICE mantiene solamente asesorías legales internas. </w:t>
      </w:r>
      <w:r w:rsidR="0032691C" w:rsidRPr="00830ED5">
        <w:t>La</w:t>
      </w:r>
      <w:r w:rsidR="00830ED5" w:rsidRPr="00830ED5">
        <w:t xml:space="preserve"> </w:t>
      </w:r>
      <w:r w:rsidRPr="00830ED5">
        <w:t>Director</w:t>
      </w:r>
      <w:r w:rsidR="0032691C" w:rsidRPr="00830ED5">
        <w:t>a</w:t>
      </w:r>
      <w:r w:rsidRPr="00830ED5">
        <w:t xml:space="preserve"> </w:t>
      </w:r>
      <w:r w:rsidR="00830ED5" w:rsidRPr="00830ED5">
        <w:t>J</w:t>
      </w:r>
      <w:r w:rsidRPr="00830ED5">
        <w:t>urídic</w:t>
      </w:r>
      <w:r w:rsidR="0032691C" w:rsidRPr="00830ED5">
        <w:t>a</w:t>
      </w:r>
      <w:r w:rsidRPr="00830ED5">
        <w:t xml:space="preserve"> del ICE es </w:t>
      </w:r>
      <w:r w:rsidR="0032691C" w:rsidRPr="00830ED5">
        <w:t>la</w:t>
      </w:r>
      <w:r w:rsidRPr="00830ED5">
        <w:t xml:space="preserve"> señor</w:t>
      </w:r>
      <w:r w:rsidR="0032691C" w:rsidRPr="00830ED5">
        <w:t>a Oky Segura Elizondo</w:t>
      </w:r>
      <w:r w:rsidRPr="00830ED5">
        <w:t>.</w:t>
      </w:r>
    </w:p>
    <w:p w14:paraId="64FE1F29" w14:textId="77777777" w:rsidR="00A65F5F" w:rsidRPr="00670E95" w:rsidRDefault="00A65F5F" w:rsidP="00A65F5F">
      <w:pPr>
        <w:ind w:left="-540" w:right="-25"/>
      </w:pPr>
    </w:p>
    <w:p w14:paraId="03FE43D6" w14:textId="77777777" w:rsidR="00A65F5F" w:rsidRPr="00670E95" w:rsidRDefault="00A65F5F" w:rsidP="00EF0D70">
      <w:pPr>
        <w:pStyle w:val="Ttulo3"/>
        <w:numPr>
          <w:ilvl w:val="2"/>
          <w:numId w:val="38"/>
        </w:numPr>
        <w:ind w:left="-567" w:firstLine="0"/>
      </w:pPr>
      <w:bookmarkStart w:id="1982" w:name="_Toc304737213"/>
      <w:bookmarkStart w:id="1983" w:name="_Toc343676048"/>
      <w:bookmarkStart w:id="1984" w:name="_Toc358619411"/>
      <w:bookmarkStart w:id="1985" w:name="_Toc358620676"/>
      <w:bookmarkStart w:id="1986" w:name="_Toc358621883"/>
      <w:bookmarkStart w:id="1987" w:name="_Toc358622860"/>
      <w:bookmarkStart w:id="1988" w:name="_Toc26357149"/>
      <w:bookmarkStart w:id="1989" w:name="_Toc138664938"/>
      <w:r w:rsidRPr="00670E95">
        <w:t>Moneda de la información financiera</w:t>
      </w:r>
      <w:bookmarkEnd w:id="1982"/>
      <w:bookmarkEnd w:id="1983"/>
      <w:bookmarkEnd w:id="1984"/>
      <w:bookmarkEnd w:id="1985"/>
      <w:bookmarkEnd w:id="1986"/>
      <w:bookmarkEnd w:id="1987"/>
      <w:bookmarkEnd w:id="1988"/>
      <w:bookmarkEnd w:id="1989"/>
    </w:p>
    <w:p w14:paraId="4C7D1759" w14:textId="77777777" w:rsidR="00A65F5F" w:rsidRPr="00670E95" w:rsidRDefault="00A65F5F" w:rsidP="00A65F5F">
      <w:pPr>
        <w:ind w:left="-540" w:right="-25"/>
      </w:pPr>
    </w:p>
    <w:p w14:paraId="75F58A6B" w14:textId="77777777" w:rsidR="00A65F5F" w:rsidRPr="00670E95" w:rsidRDefault="00A65F5F" w:rsidP="00A65F5F">
      <w:pPr>
        <w:ind w:left="-540" w:right="-25"/>
      </w:pPr>
      <w:r w:rsidRPr="00670E95">
        <w:t xml:space="preserve">Los estados financieros se presentan en </w:t>
      </w:r>
      <w:r>
        <w:t>colones costarricenses</w:t>
      </w:r>
    </w:p>
    <w:p w14:paraId="67CC29F3" w14:textId="77777777" w:rsidR="00A65F5F" w:rsidRDefault="00A65F5F" w:rsidP="00A65F5F">
      <w:pPr>
        <w:ind w:left="-540" w:right="-25"/>
      </w:pPr>
    </w:p>
    <w:p w14:paraId="1E722B84" w14:textId="77777777" w:rsidR="00A65F5F" w:rsidRPr="00670E95" w:rsidRDefault="00A65F5F" w:rsidP="00EF0D70">
      <w:pPr>
        <w:pStyle w:val="Ttulo3"/>
        <w:numPr>
          <w:ilvl w:val="2"/>
          <w:numId w:val="39"/>
        </w:numPr>
        <w:ind w:left="-567" w:firstLine="0"/>
      </w:pPr>
      <w:bookmarkStart w:id="1990" w:name="_Toc304737214"/>
      <w:bookmarkStart w:id="1991" w:name="_Toc343676049"/>
      <w:bookmarkStart w:id="1992" w:name="_Toc358619412"/>
      <w:bookmarkStart w:id="1993" w:name="_Toc358620677"/>
      <w:bookmarkStart w:id="1994" w:name="_Toc358621884"/>
      <w:bookmarkStart w:id="1995" w:name="_Toc358622861"/>
      <w:bookmarkStart w:id="1996" w:name="_Toc26357150"/>
      <w:bookmarkStart w:id="1997" w:name="_Toc138664939"/>
      <w:r w:rsidRPr="00670E95">
        <w:t>Números de Teléfono</w:t>
      </w:r>
      <w:bookmarkEnd w:id="1990"/>
      <w:bookmarkEnd w:id="1991"/>
      <w:bookmarkEnd w:id="1992"/>
      <w:bookmarkEnd w:id="1993"/>
      <w:bookmarkEnd w:id="1994"/>
      <w:bookmarkEnd w:id="1995"/>
      <w:bookmarkEnd w:id="1996"/>
      <w:bookmarkEnd w:id="1997"/>
    </w:p>
    <w:p w14:paraId="1CFC316F" w14:textId="77777777" w:rsidR="00A65F5F" w:rsidRPr="00670E95" w:rsidRDefault="00A65F5F" w:rsidP="00A65F5F">
      <w:pPr>
        <w:ind w:left="-540" w:right="-25"/>
      </w:pPr>
    </w:p>
    <w:p w14:paraId="120137EF" w14:textId="02DEC787" w:rsidR="00A65F5F" w:rsidRPr="00670E95" w:rsidRDefault="008E37F3" w:rsidP="00A65F5F">
      <w:pPr>
        <w:ind w:left="-540" w:right="-25"/>
      </w:pPr>
      <w:r>
        <w:t>2000-6338</w:t>
      </w:r>
    </w:p>
    <w:p w14:paraId="53CB7FAC" w14:textId="77777777" w:rsidR="00A65F5F" w:rsidRPr="00670E95" w:rsidRDefault="00A65F5F" w:rsidP="00A65F5F">
      <w:pPr>
        <w:ind w:left="-540" w:right="-25"/>
      </w:pPr>
    </w:p>
    <w:p w14:paraId="40EDDE00" w14:textId="77777777" w:rsidR="00A65F5F" w:rsidRPr="00670E95" w:rsidRDefault="00A65F5F" w:rsidP="00EF0D70">
      <w:pPr>
        <w:pStyle w:val="Ttulo3"/>
        <w:numPr>
          <w:ilvl w:val="2"/>
          <w:numId w:val="40"/>
        </w:numPr>
        <w:ind w:left="-567" w:firstLine="0"/>
      </w:pPr>
      <w:bookmarkStart w:id="1998" w:name="_Toc304737215"/>
      <w:bookmarkStart w:id="1999" w:name="_Toc343676050"/>
      <w:bookmarkStart w:id="2000" w:name="_Toc358619413"/>
      <w:bookmarkStart w:id="2001" w:name="_Toc358620678"/>
      <w:bookmarkStart w:id="2002" w:name="_Toc358621885"/>
      <w:bookmarkStart w:id="2003" w:name="_Toc358622862"/>
      <w:bookmarkStart w:id="2004" w:name="_Toc26357151"/>
      <w:bookmarkStart w:id="2005" w:name="_Toc138664940"/>
      <w:r w:rsidRPr="00670E95">
        <w:t>Números de Fax</w:t>
      </w:r>
      <w:bookmarkEnd w:id="1998"/>
      <w:bookmarkEnd w:id="1999"/>
      <w:bookmarkEnd w:id="2000"/>
      <w:bookmarkEnd w:id="2001"/>
      <w:bookmarkEnd w:id="2002"/>
      <w:bookmarkEnd w:id="2003"/>
      <w:bookmarkEnd w:id="2004"/>
      <w:bookmarkEnd w:id="2005"/>
    </w:p>
    <w:p w14:paraId="006A6ACA" w14:textId="77777777" w:rsidR="00A65F5F" w:rsidRPr="00670E95" w:rsidRDefault="00A65F5F" w:rsidP="00A65F5F">
      <w:pPr>
        <w:ind w:left="-540" w:right="-25"/>
      </w:pPr>
    </w:p>
    <w:p w14:paraId="0D8F711F" w14:textId="77777777" w:rsidR="00A65F5F" w:rsidRPr="00670E95" w:rsidRDefault="00A65F5F" w:rsidP="00A65F5F">
      <w:pPr>
        <w:ind w:left="-540" w:right="-25"/>
      </w:pPr>
      <w:r w:rsidRPr="00A535D3">
        <w:t>2003-0097</w:t>
      </w:r>
    </w:p>
    <w:p w14:paraId="52F36C68" w14:textId="77777777" w:rsidR="00A65F5F" w:rsidRPr="00670E95" w:rsidRDefault="00A65F5F" w:rsidP="00A65F5F">
      <w:pPr>
        <w:ind w:left="-540" w:right="-25"/>
      </w:pPr>
    </w:p>
    <w:p w14:paraId="5F92B552" w14:textId="77777777" w:rsidR="00A65F5F" w:rsidRPr="00670E95" w:rsidRDefault="00A65F5F" w:rsidP="00EF0D70">
      <w:pPr>
        <w:pStyle w:val="Ttulo3"/>
        <w:numPr>
          <w:ilvl w:val="2"/>
          <w:numId w:val="41"/>
        </w:numPr>
        <w:ind w:left="-567" w:firstLine="0"/>
      </w:pPr>
      <w:bookmarkStart w:id="2006" w:name="_Toc304737216"/>
      <w:bookmarkStart w:id="2007" w:name="_Toc343676051"/>
      <w:bookmarkStart w:id="2008" w:name="_Toc358619414"/>
      <w:bookmarkStart w:id="2009" w:name="_Toc358620679"/>
      <w:bookmarkStart w:id="2010" w:name="_Toc358621886"/>
      <w:bookmarkStart w:id="2011" w:name="_Toc358622863"/>
      <w:bookmarkStart w:id="2012" w:name="_Toc26357152"/>
      <w:bookmarkStart w:id="2013" w:name="_Toc138664941"/>
      <w:r w:rsidRPr="00670E95">
        <w:t>Apartado Postal</w:t>
      </w:r>
      <w:bookmarkEnd w:id="2006"/>
      <w:bookmarkEnd w:id="2007"/>
      <w:bookmarkEnd w:id="2008"/>
      <w:bookmarkEnd w:id="2009"/>
      <w:bookmarkEnd w:id="2010"/>
      <w:bookmarkEnd w:id="2011"/>
      <w:bookmarkEnd w:id="2012"/>
      <w:bookmarkEnd w:id="2013"/>
    </w:p>
    <w:p w14:paraId="1A4303BA" w14:textId="77777777" w:rsidR="00A65F5F" w:rsidRPr="00670E95" w:rsidRDefault="00A65F5F" w:rsidP="00A65F5F">
      <w:pPr>
        <w:ind w:left="-540" w:right="-25"/>
      </w:pPr>
    </w:p>
    <w:p w14:paraId="17F2B07E" w14:textId="77777777" w:rsidR="00A65F5F" w:rsidRPr="00670E95" w:rsidRDefault="00A65F5F" w:rsidP="00A65F5F">
      <w:pPr>
        <w:ind w:left="-540" w:right="-25"/>
      </w:pPr>
      <w:r>
        <w:t>10032-1000 San José, Costa Rica</w:t>
      </w:r>
    </w:p>
    <w:p w14:paraId="546994E9" w14:textId="77777777" w:rsidR="00A65F5F" w:rsidRPr="00670E95" w:rsidRDefault="00A65F5F" w:rsidP="00EF0D70">
      <w:pPr>
        <w:pStyle w:val="Ttulo3"/>
        <w:numPr>
          <w:ilvl w:val="2"/>
          <w:numId w:val="42"/>
        </w:numPr>
        <w:ind w:left="-567" w:firstLine="0"/>
      </w:pPr>
      <w:bookmarkStart w:id="2014" w:name="_Toc304737217"/>
      <w:bookmarkStart w:id="2015" w:name="_Toc343676052"/>
      <w:bookmarkStart w:id="2016" w:name="_Toc358619415"/>
      <w:bookmarkStart w:id="2017" w:name="_Toc358620680"/>
      <w:bookmarkStart w:id="2018" w:name="_Toc358621887"/>
      <w:bookmarkStart w:id="2019" w:name="_Toc358622864"/>
      <w:bookmarkStart w:id="2020" w:name="_Toc26357153"/>
      <w:bookmarkStart w:id="2021" w:name="_Toc138664942"/>
      <w:r w:rsidRPr="00670E95">
        <w:t>Correo Electrónico</w:t>
      </w:r>
      <w:bookmarkEnd w:id="2014"/>
      <w:bookmarkEnd w:id="2015"/>
      <w:bookmarkEnd w:id="2016"/>
      <w:bookmarkEnd w:id="2017"/>
      <w:bookmarkEnd w:id="2018"/>
      <w:bookmarkEnd w:id="2019"/>
      <w:bookmarkEnd w:id="2020"/>
      <w:bookmarkEnd w:id="2021"/>
    </w:p>
    <w:p w14:paraId="71827EE4" w14:textId="77777777" w:rsidR="00A65F5F" w:rsidRPr="00670E95" w:rsidRDefault="00A65F5F" w:rsidP="00A65F5F">
      <w:pPr>
        <w:ind w:left="-540" w:right="-25"/>
      </w:pPr>
    </w:p>
    <w:p w14:paraId="364ADF46" w14:textId="77777777" w:rsidR="00A65F5F" w:rsidRPr="001D1C39" w:rsidRDefault="00A65F5F" w:rsidP="00A65F5F">
      <w:pPr>
        <w:ind w:left="-540" w:right="-25"/>
        <w:rPr>
          <w:lang w:val="es-ES"/>
        </w:rPr>
      </w:pPr>
      <w:r w:rsidRPr="00830ED5">
        <w:rPr>
          <w:lang w:val="es-ES"/>
        </w:rPr>
        <w:t>mmartinezf@ice.go.cr</w:t>
      </w:r>
    </w:p>
    <w:p w14:paraId="71645060" w14:textId="77777777" w:rsidR="00A65F5F" w:rsidRPr="001D1C39" w:rsidRDefault="00A65F5F" w:rsidP="00A65F5F">
      <w:pPr>
        <w:ind w:left="-540" w:right="-25"/>
        <w:rPr>
          <w:lang w:val="es-ES"/>
        </w:rPr>
      </w:pPr>
    </w:p>
    <w:p w14:paraId="306C6BD0" w14:textId="77777777" w:rsidR="00A65F5F" w:rsidRPr="00926F7F" w:rsidRDefault="00A65F5F" w:rsidP="00EF0D70">
      <w:pPr>
        <w:pStyle w:val="Ttulo3"/>
        <w:numPr>
          <w:ilvl w:val="2"/>
          <w:numId w:val="43"/>
        </w:numPr>
        <w:ind w:left="-567" w:firstLine="0"/>
      </w:pPr>
      <w:bookmarkStart w:id="2022" w:name="_Toc304737218"/>
      <w:bookmarkStart w:id="2023" w:name="_Toc343676053"/>
      <w:bookmarkStart w:id="2024" w:name="_Toc358619416"/>
      <w:bookmarkStart w:id="2025" w:name="_Toc358620681"/>
      <w:bookmarkStart w:id="2026" w:name="_Toc358621888"/>
      <w:bookmarkStart w:id="2027" w:name="_Toc358622865"/>
      <w:bookmarkStart w:id="2028" w:name="_Toc26357154"/>
      <w:bookmarkStart w:id="2029" w:name="_Toc138664943"/>
      <w:r w:rsidRPr="00926F7F">
        <w:t>Sitio Web</w:t>
      </w:r>
      <w:bookmarkEnd w:id="2022"/>
      <w:bookmarkEnd w:id="2023"/>
      <w:bookmarkEnd w:id="2024"/>
      <w:bookmarkEnd w:id="2025"/>
      <w:bookmarkEnd w:id="2026"/>
      <w:bookmarkEnd w:id="2027"/>
      <w:bookmarkEnd w:id="2028"/>
      <w:bookmarkEnd w:id="2029"/>
    </w:p>
    <w:p w14:paraId="4A70C4A2" w14:textId="77777777" w:rsidR="00A65F5F" w:rsidRPr="001D1C39" w:rsidRDefault="00A65F5F" w:rsidP="00A65F5F">
      <w:pPr>
        <w:ind w:left="-540" w:right="-25"/>
        <w:rPr>
          <w:lang w:val="es-ES"/>
        </w:rPr>
      </w:pPr>
    </w:p>
    <w:p w14:paraId="63344BEC" w14:textId="77777777" w:rsidR="00A65F5F" w:rsidRPr="007D3BD1" w:rsidRDefault="00A65F5F" w:rsidP="00A65F5F">
      <w:pPr>
        <w:ind w:left="-540" w:right="-25"/>
      </w:pPr>
      <w:r>
        <w:t>www.grupoice</w:t>
      </w:r>
      <w:r w:rsidRPr="007D3BD1">
        <w:t>.com</w:t>
      </w:r>
    </w:p>
    <w:p w14:paraId="1B5253A4" w14:textId="77777777" w:rsidR="00A65F5F" w:rsidRPr="007D3BD1" w:rsidRDefault="00A65F5F" w:rsidP="00EF0D70">
      <w:pPr>
        <w:pStyle w:val="Ttulo3"/>
        <w:numPr>
          <w:ilvl w:val="2"/>
          <w:numId w:val="44"/>
        </w:numPr>
        <w:ind w:left="-567" w:firstLine="0"/>
      </w:pPr>
      <w:bookmarkStart w:id="2030" w:name="_Toc304737219"/>
      <w:bookmarkStart w:id="2031" w:name="_Toc343676054"/>
      <w:bookmarkStart w:id="2032" w:name="_Toc358619417"/>
      <w:bookmarkStart w:id="2033" w:name="_Toc358620682"/>
      <w:bookmarkStart w:id="2034" w:name="_Toc358621889"/>
      <w:bookmarkStart w:id="2035" w:name="_Toc358622866"/>
      <w:bookmarkStart w:id="2036" w:name="_Toc26357155"/>
      <w:bookmarkStart w:id="2037" w:name="_Toc138664944"/>
      <w:r w:rsidRPr="007D3BD1">
        <w:t>Acontecimientos más relevantes</w:t>
      </w:r>
      <w:bookmarkEnd w:id="2030"/>
      <w:bookmarkEnd w:id="2031"/>
      <w:bookmarkEnd w:id="2032"/>
      <w:bookmarkEnd w:id="2033"/>
      <w:bookmarkEnd w:id="2034"/>
      <w:bookmarkEnd w:id="2035"/>
      <w:bookmarkEnd w:id="2036"/>
      <w:bookmarkEnd w:id="2037"/>
    </w:p>
    <w:p w14:paraId="405F8355" w14:textId="77777777" w:rsidR="00A65F5F" w:rsidRPr="007D3BD1" w:rsidRDefault="00A65F5F" w:rsidP="00A65F5F">
      <w:pPr>
        <w:ind w:left="-540" w:right="-25"/>
      </w:pPr>
    </w:p>
    <w:p w14:paraId="2B3E3C08" w14:textId="77777777" w:rsidR="00A65F5F" w:rsidRPr="007D3BD1" w:rsidRDefault="00A65F5F" w:rsidP="00A65F5F">
      <w:pPr>
        <w:pStyle w:val="Prrafodelista"/>
        <w:numPr>
          <w:ilvl w:val="0"/>
          <w:numId w:val="6"/>
        </w:numPr>
        <w:ind w:right="-25"/>
      </w:pPr>
      <w:r w:rsidRPr="007D3BD1">
        <w:rPr>
          <w:b/>
        </w:rPr>
        <w:t>8 Abril de 1949:</w:t>
      </w:r>
      <w:r w:rsidRPr="007D3BD1">
        <w:t xml:space="preserve"> Se crea el Instituto Costarricense de Electricidad por medio del Decreto-Ley Nº449.</w:t>
      </w:r>
    </w:p>
    <w:p w14:paraId="0D91C4D1" w14:textId="77777777" w:rsidR="00A65F5F" w:rsidRDefault="00A65F5F" w:rsidP="00A65F5F">
      <w:pPr>
        <w:pStyle w:val="Prrafodelista"/>
        <w:numPr>
          <w:ilvl w:val="0"/>
          <w:numId w:val="6"/>
        </w:numPr>
        <w:ind w:right="-25"/>
      </w:pPr>
      <w:r w:rsidRPr="00F42C86">
        <w:rPr>
          <w:b/>
        </w:rPr>
        <w:t>28 de Abril de 1958:</w:t>
      </w:r>
      <w:r>
        <w:t xml:space="preserve"> Se construye la primera planta hidroeléctrica, denominada La Garita. Esta planta se ubica en Alajuela, entre La Garita y Turrúcares y </w:t>
      </w:r>
      <w:r w:rsidRPr="00877E27">
        <w:t>utiliza las aguas del río Grande de San Ramón. Constaba de dos unidades idénticas de 30 000 kW que fueron sustituidas en el 2003 por una de mayor eficiencia, con una capacidad de 37 360 kW.</w:t>
      </w:r>
    </w:p>
    <w:p w14:paraId="2C384B76" w14:textId="77777777" w:rsidR="00A65F5F" w:rsidRDefault="00A65F5F" w:rsidP="00A65F5F">
      <w:pPr>
        <w:pStyle w:val="Prrafodelista"/>
      </w:pPr>
    </w:p>
    <w:p w14:paraId="06B3B6ED" w14:textId="77777777" w:rsidR="00A65F5F" w:rsidRDefault="00A65F5F" w:rsidP="00A65F5F">
      <w:pPr>
        <w:pStyle w:val="Prrafodelista"/>
        <w:numPr>
          <w:ilvl w:val="0"/>
          <w:numId w:val="6"/>
        </w:numPr>
        <w:ind w:right="-25"/>
      </w:pPr>
      <w:r w:rsidRPr="00F42C86">
        <w:rPr>
          <w:b/>
        </w:rPr>
        <w:t>1 de Junio de 1963:</w:t>
      </w:r>
      <w:r>
        <w:t xml:space="preserve"> Se construye la planta hidroeléctrica Río Macho, </w:t>
      </w:r>
      <w:r w:rsidRPr="00FE4D8F">
        <w:t>ubicada en el valle de Orosi en Paraíso de Cartago. Utiliza los ríos Macho y Grande de Tapantí, que al unirse originan el río Reventazón</w:t>
      </w:r>
      <w:r w:rsidR="00C71254">
        <w:t>.</w:t>
      </w:r>
    </w:p>
    <w:p w14:paraId="377D5965" w14:textId="77777777" w:rsidR="00A65F5F" w:rsidRDefault="00A65F5F" w:rsidP="00A65F5F">
      <w:pPr>
        <w:pStyle w:val="Prrafodelista"/>
      </w:pPr>
    </w:p>
    <w:p w14:paraId="5EDB537A" w14:textId="77777777" w:rsidR="00A65F5F" w:rsidRDefault="00A65F5F" w:rsidP="00A65F5F">
      <w:pPr>
        <w:pStyle w:val="Prrafodelista"/>
        <w:numPr>
          <w:ilvl w:val="0"/>
          <w:numId w:val="6"/>
        </w:numPr>
        <w:ind w:right="-25"/>
      </w:pPr>
      <w:r w:rsidRPr="00D05AA3">
        <w:rPr>
          <w:b/>
        </w:rPr>
        <w:t>28 de octubre 1963:</w:t>
      </w:r>
      <w:r>
        <w:t xml:space="preserve"> Se establece la Ley 3226, la cual encarga al ICE el abastecer los servicios de comunicaciones telefónicas, telegráficas, radiotelefónicas y radiotelegráficas.</w:t>
      </w:r>
    </w:p>
    <w:p w14:paraId="1F1E5CB8" w14:textId="77777777" w:rsidR="00A65F5F" w:rsidRDefault="00A65F5F" w:rsidP="00A65F5F">
      <w:pPr>
        <w:pStyle w:val="Prrafodelista"/>
      </w:pPr>
    </w:p>
    <w:p w14:paraId="6AD7B9CF" w14:textId="77777777" w:rsidR="00A65F5F" w:rsidRDefault="00A65F5F" w:rsidP="00A65F5F">
      <w:pPr>
        <w:pStyle w:val="Prrafodelista"/>
        <w:numPr>
          <w:ilvl w:val="0"/>
          <w:numId w:val="6"/>
        </w:numPr>
        <w:ind w:right="-25"/>
      </w:pPr>
      <w:r w:rsidRPr="00F42C86">
        <w:rPr>
          <w:b/>
        </w:rPr>
        <w:t>7 de Mayo de 1966:</w:t>
      </w:r>
      <w:r>
        <w:t xml:space="preserve"> Entra en operación la planta hidroeléctrica de Cachí. </w:t>
      </w:r>
      <w:r w:rsidRPr="008725B7">
        <w:t>Consta de dos unidades idénticas con una potencia conjunta de 64 000kW. Está ubicada en Cartago, entre Cachí de Paraíso y Bajos del Congo de Tucurrique. Utiliza las aguas del río Reventazón. Esta planta tiene la particularidad de que ofrece atractivos turísticos y de pesca que constituyen beneficios adicionales para la zona</w:t>
      </w:r>
      <w:r>
        <w:t>.</w:t>
      </w:r>
    </w:p>
    <w:p w14:paraId="71003887" w14:textId="77777777" w:rsidR="00A65F5F" w:rsidRDefault="00A65F5F" w:rsidP="00A65F5F">
      <w:pPr>
        <w:pStyle w:val="Prrafodelista"/>
      </w:pPr>
    </w:p>
    <w:p w14:paraId="30857679" w14:textId="77777777" w:rsidR="00A65F5F" w:rsidRDefault="00A65F5F" w:rsidP="00A65F5F">
      <w:pPr>
        <w:pStyle w:val="Prrafodelista"/>
        <w:numPr>
          <w:ilvl w:val="0"/>
          <w:numId w:val="6"/>
        </w:numPr>
        <w:ind w:right="-25"/>
      </w:pPr>
      <w:r w:rsidRPr="00621EA2">
        <w:rPr>
          <w:b/>
        </w:rPr>
        <w:t>1967:</w:t>
      </w:r>
      <w:r>
        <w:t xml:space="preserve"> El ICE instala las primeras centrales telefónicas automáticas, iniciándose así el desarrollo en telecomunicaciones.</w:t>
      </w:r>
    </w:p>
    <w:p w14:paraId="0B1EDB4C" w14:textId="77777777" w:rsidR="00A65F5F" w:rsidRDefault="00A65F5F" w:rsidP="00A65F5F">
      <w:pPr>
        <w:pStyle w:val="Prrafodelista"/>
        <w:ind w:left="180" w:right="-25"/>
      </w:pPr>
    </w:p>
    <w:p w14:paraId="39CFB632" w14:textId="77777777" w:rsidR="00A65F5F" w:rsidRDefault="00A65F5F" w:rsidP="00A65F5F">
      <w:pPr>
        <w:pStyle w:val="Prrafodelista"/>
        <w:numPr>
          <w:ilvl w:val="0"/>
          <w:numId w:val="6"/>
        </w:numPr>
        <w:ind w:right="-25"/>
      </w:pPr>
      <w:r w:rsidRPr="00F42C86">
        <w:rPr>
          <w:b/>
        </w:rPr>
        <w:t>30 Abril de 1968:</w:t>
      </w:r>
      <w:r>
        <w:t xml:space="preserve"> El ICE compra el 98,6% de las </w:t>
      </w:r>
      <w:r w:rsidRPr="00E944B8">
        <w:t xml:space="preserve">acciones de Electric Bond and Share Co, </w:t>
      </w:r>
      <w:r>
        <w:t xml:space="preserve">la cual era dueña de la Compañía Nacional de Fuerza y Luz, </w:t>
      </w:r>
      <w:r w:rsidRPr="00E944B8">
        <w:t>dejando</w:t>
      </w:r>
      <w:r>
        <w:t xml:space="preserve"> las acciones restantes en manos de empresarios costarricenses. Con este acto el país nacionaliza los servicios de electricidad en su totalidad.</w:t>
      </w:r>
    </w:p>
    <w:p w14:paraId="708D6FDB" w14:textId="77777777" w:rsidR="00A65F5F" w:rsidRDefault="00A65F5F" w:rsidP="00A65F5F">
      <w:pPr>
        <w:pStyle w:val="Prrafodelista"/>
        <w:ind w:left="0" w:right="-25"/>
      </w:pPr>
    </w:p>
    <w:p w14:paraId="7D0920A3" w14:textId="77777777" w:rsidR="00A65F5F" w:rsidRDefault="00A65F5F" w:rsidP="00A65F5F">
      <w:pPr>
        <w:pStyle w:val="Prrafodelista"/>
        <w:numPr>
          <w:ilvl w:val="0"/>
          <w:numId w:val="6"/>
        </w:numPr>
        <w:ind w:right="-25"/>
      </w:pPr>
      <w:r w:rsidRPr="00F42C86">
        <w:rPr>
          <w:b/>
        </w:rPr>
        <w:t>1 de Julio de 1971:</w:t>
      </w:r>
      <w:r>
        <w:t xml:space="preserve"> El ICE y la CNFL suscriben un Convenio para la Prestación Mutua de Servicios, con el fin de marcar sus ámbitos de acción y establecer una política de coordinación de esfuerzos.</w:t>
      </w:r>
    </w:p>
    <w:p w14:paraId="6236059F" w14:textId="77777777" w:rsidR="00A65F5F" w:rsidRDefault="00A65F5F" w:rsidP="00A65F5F">
      <w:pPr>
        <w:pStyle w:val="Prrafodelista"/>
      </w:pPr>
    </w:p>
    <w:p w14:paraId="4D82A111" w14:textId="77777777" w:rsidR="00A65F5F" w:rsidRDefault="00A65F5F" w:rsidP="00A65F5F">
      <w:pPr>
        <w:pStyle w:val="Prrafodelista"/>
        <w:numPr>
          <w:ilvl w:val="0"/>
          <w:numId w:val="6"/>
        </w:numPr>
        <w:ind w:right="-25"/>
      </w:pPr>
      <w:r w:rsidRPr="00F42C86">
        <w:rPr>
          <w:b/>
        </w:rPr>
        <w:t>1972:</w:t>
      </w:r>
      <w:r>
        <w:t xml:space="preserve"> Se </w:t>
      </w:r>
      <w:r w:rsidRPr="00FE4D8F">
        <w:t>concluye el Proyecto Hidroeléctrico Tapantí que es la primera ampliación de la planta Río Macho con la incorporación de las unidades 3 y 4 y con ello la potencia de dicha planta asciende a 90 000</w:t>
      </w:r>
      <w:r>
        <w:t>Kw</w:t>
      </w:r>
      <w:r w:rsidRPr="00FE4D8F">
        <w:t>. Con esta ampliación al embalse de Río Macho llamado El Llano, se le adicionan las aguas de los ríos Tapantí, Porras, Humo y Villegas</w:t>
      </w:r>
      <w:r>
        <w:t xml:space="preserve">. </w:t>
      </w:r>
      <w:r w:rsidRPr="00991BBB">
        <w:t xml:space="preserve">Se debe agregar que, entre 1976 y 1978 se lleva a cabo la instalación de la primera unidad, y su potencia asciende 100 800k y por último se instala la tercera unidad con una potencia superior a 120 000 </w:t>
      </w:r>
      <w:r>
        <w:t>Kw.</w:t>
      </w:r>
    </w:p>
    <w:p w14:paraId="2769F021" w14:textId="77777777" w:rsidR="00A65F5F" w:rsidRDefault="00A65F5F" w:rsidP="00A65F5F">
      <w:pPr>
        <w:pStyle w:val="Prrafodelista"/>
      </w:pPr>
    </w:p>
    <w:p w14:paraId="262DEB7F" w14:textId="77777777" w:rsidR="00A65F5F" w:rsidRDefault="00A65F5F" w:rsidP="00A65F5F">
      <w:pPr>
        <w:pStyle w:val="Prrafodelista"/>
        <w:numPr>
          <w:ilvl w:val="0"/>
          <w:numId w:val="6"/>
        </w:numPr>
        <w:ind w:right="-25"/>
      </w:pPr>
      <w:r w:rsidRPr="00F42C86">
        <w:rPr>
          <w:b/>
        </w:rPr>
        <w:t xml:space="preserve">21 de Junio de 1975: </w:t>
      </w:r>
      <w:r>
        <w:t xml:space="preserve">El ICE adquiere cuatro plantas menores denominadas Plantas Hidroeléctricas del sistema Miller, las cuales fueron construidas en la primera mitad del siglo XX por el empresario Bruno Miller. </w:t>
      </w:r>
      <w:r w:rsidRPr="00C44933">
        <w:t>Están ubicadas en La Unión de Cartago en la región de San Ramón.</w:t>
      </w:r>
    </w:p>
    <w:p w14:paraId="4AB021E1" w14:textId="77777777" w:rsidR="00A65F5F" w:rsidRDefault="00A65F5F" w:rsidP="00A65F5F">
      <w:pPr>
        <w:pStyle w:val="Prrafodelista"/>
      </w:pPr>
    </w:p>
    <w:p w14:paraId="62109E29" w14:textId="77777777" w:rsidR="00A65F5F" w:rsidRDefault="00A65F5F" w:rsidP="00A65F5F">
      <w:pPr>
        <w:pStyle w:val="Prrafodelista"/>
        <w:numPr>
          <w:ilvl w:val="0"/>
          <w:numId w:val="6"/>
        </w:numPr>
        <w:ind w:right="-25"/>
      </w:pPr>
      <w:r w:rsidRPr="00A87888">
        <w:rPr>
          <w:b/>
        </w:rPr>
        <w:t>9 de Diciembre de 1978:</w:t>
      </w:r>
      <w:r>
        <w:t xml:space="preserve"> Entra en operación la planta hidroeléctrica Arenal, ubicada en Tilarán, Guanacaste. Tiene </w:t>
      </w:r>
      <w:r w:rsidRPr="00A87888">
        <w:t>tres unidades idénticas con una potencia conjunta de 157 398</w:t>
      </w:r>
      <w:r>
        <w:t xml:space="preserve"> </w:t>
      </w:r>
      <w:r w:rsidRPr="00A87888">
        <w:t>kW y almacena las aguas de los ríos Arenal, Aguas Gatas, Caño negro, Chiquito y otros de menor importancia.</w:t>
      </w:r>
    </w:p>
    <w:p w14:paraId="32907A8A" w14:textId="77777777" w:rsidR="00A65F5F" w:rsidRDefault="00A65F5F" w:rsidP="00A65F5F">
      <w:pPr>
        <w:pStyle w:val="Prrafodelista"/>
      </w:pPr>
    </w:p>
    <w:p w14:paraId="6BB9CC55" w14:textId="77777777" w:rsidR="00A65F5F" w:rsidRDefault="00A65F5F" w:rsidP="00A65F5F">
      <w:pPr>
        <w:pStyle w:val="Prrafodelista"/>
        <w:numPr>
          <w:ilvl w:val="0"/>
          <w:numId w:val="6"/>
        </w:numPr>
        <w:ind w:right="-25"/>
      </w:pPr>
      <w:r w:rsidRPr="00F42C86">
        <w:rPr>
          <w:b/>
        </w:rPr>
        <w:t>11 de Abril de 1981:</w:t>
      </w:r>
      <w:r>
        <w:t xml:space="preserve"> Se traspasa al ICE la planta Cacao, la cual era propiedad de la Junta Administrativa de Servicios Eléctricos de Alajuela, ubicada en Cacao de Tambor en el cantón central de Alajuela. </w:t>
      </w:r>
      <w:r w:rsidRPr="00E02C5C">
        <w:t>Consta de dos unidades idénticas con una potencia conjunta de 672</w:t>
      </w:r>
      <w:r>
        <w:t xml:space="preserve"> </w:t>
      </w:r>
      <w:r w:rsidRPr="00E02C5C">
        <w:t>kW</w:t>
      </w:r>
      <w:r>
        <w:tab/>
      </w:r>
    </w:p>
    <w:p w14:paraId="51E0CEAA" w14:textId="77777777" w:rsidR="00A65F5F" w:rsidRDefault="00A65F5F" w:rsidP="00A65F5F">
      <w:pPr>
        <w:pStyle w:val="Prrafodelista"/>
      </w:pPr>
    </w:p>
    <w:p w14:paraId="38653E47" w14:textId="77777777" w:rsidR="00A65F5F" w:rsidRDefault="00A65F5F" w:rsidP="00A65F5F">
      <w:pPr>
        <w:pStyle w:val="Prrafodelista"/>
        <w:numPr>
          <w:ilvl w:val="0"/>
          <w:numId w:val="6"/>
        </w:numPr>
        <w:ind w:right="-25"/>
      </w:pPr>
      <w:r w:rsidRPr="00F42C86">
        <w:rPr>
          <w:b/>
        </w:rPr>
        <w:t>20 Marzo de 1982:</w:t>
      </w:r>
      <w:r>
        <w:t xml:space="preserve"> Entra en operación la </w:t>
      </w:r>
      <w:r w:rsidRPr="006645FE">
        <w:t>planta Ingeniero Miguel Pablo Dengo. Esta planta</w:t>
      </w:r>
      <w:r>
        <w:t xml:space="preserve"> pertenece </w:t>
      </w:r>
      <w:r w:rsidRPr="009739E6">
        <w:t>a la segunda etapa del Complejo Hidroeléctrico Arenal. Está ubicada cerca de Cañas, Guanacaste. Al inicio se llamó Planta Hidroeléctrica Corobicí pero cambia su nombre en memoria del ingeniero Miguel Pablo Dengo, que muere en la represa del Arenal en un accidente en el año 1980. Aprovecha las aguas del río Arenal además de un pequeño aporte del río Santa Rosa. Consta de tres unidades idénticas con una potencia de 174 012kW, siendo la más potente del Sistema Nacional Interconectado</w:t>
      </w:r>
    </w:p>
    <w:p w14:paraId="1F130090" w14:textId="77777777" w:rsidR="00A65F5F" w:rsidRDefault="00A65F5F" w:rsidP="00A65F5F">
      <w:pPr>
        <w:pStyle w:val="Prrafodelista"/>
      </w:pPr>
    </w:p>
    <w:p w14:paraId="370954D4" w14:textId="77777777" w:rsidR="00A65F5F" w:rsidRDefault="00A65F5F" w:rsidP="00A65F5F">
      <w:pPr>
        <w:pStyle w:val="Prrafodelista"/>
        <w:numPr>
          <w:ilvl w:val="0"/>
          <w:numId w:val="6"/>
        </w:numPr>
        <w:ind w:right="-25"/>
      </w:pPr>
      <w:r w:rsidRPr="00F42C86">
        <w:rPr>
          <w:b/>
        </w:rPr>
        <w:t>15 de Julio de 1987:</w:t>
      </w:r>
      <w:r>
        <w:t xml:space="preserve"> Entra en operación </w:t>
      </w:r>
      <w:r w:rsidRPr="00F869D5">
        <w:t xml:space="preserve">el Proyecto Hidroeléctrico Ventanas Garita, que es la primera de las dos unidades idénticas de la ampliación de </w:t>
      </w:r>
      <w:r>
        <w:t xml:space="preserve">la planta hidroeléctrica </w:t>
      </w:r>
      <w:r w:rsidRPr="00F869D5">
        <w:t>La Garita. Utiliza las aguas de los ríos Virilla y Ciruelas y tiene una potencia de 97 380kW</w:t>
      </w:r>
      <w:r>
        <w:t>.</w:t>
      </w:r>
    </w:p>
    <w:p w14:paraId="7C080B8C" w14:textId="77777777" w:rsidR="00A65F5F" w:rsidRDefault="00A65F5F" w:rsidP="00A65F5F">
      <w:pPr>
        <w:pStyle w:val="Prrafodelista"/>
        <w:ind w:left="0" w:right="-25"/>
      </w:pPr>
    </w:p>
    <w:p w14:paraId="5BB00573" w14:textId="77777777" w:rsidR="00A65F5F" w:rsidRPr="00C0119B" w:rsidRDefault="00A65F5F" w:rsidP="00A65F5F">
      <w:pPr>
        <w:pStyle w:val="Prrafodelista"/>
        <w:numPr>
          <w:ilvl w:val="0"/>
          <w:numId w:val="6"/>
        </w:numPr>
        <w:ind w:right="-25"/>
      </w:pPr>
      <w:r w:rsidRPr="00F42C86">
        <w:rPr>
          <w:b/>
        </w:rPr>
        <w:t>1990:</w:t>
      </w:r>
      <w:r>
        <w:t xml:space="preserve"> Se comienza a operar la planta Lic. </w:t>
      </w:r>
      <w:r w:rsidRPr="009739E6">
        <w:rPr>
          <w:lang w:val="es-ES"/>
        </w:rPr>
        <w:t xml:space="preserve">Alberto Echandi, la cual es una reconstrucción de la antigua planta Nagatac que se realiza en 1990. Está ubicada en Bajo Cambronero en San Ramón de Alajuela y utiliza las aguas del río Barranca. </w:t>
      </w:r>
      <w:r w:rsidRPr="009739E6">
        <w:rPr>
          <w:lang w:val="en-US"/>
        </w:rPr>
        <w:t xml:space="preserve">Consta de una unidad de 4 696kW de </w:t>
      </w:r>
      <w:r w:rsidRPr="00F60FAA">
        <w:rPr>
          <w:lang w:val="es-CR"/>
        </w:rPr>
        <w:t>potencia</w:t>
      </w:r>
      <w:r>
        <w:rPr>
          <w:lang w:val="en-US"/>
        </w:rPr>
        <w:t>.</w:t>
      </w:r>
    </w:p>
    <w:p w14:paraId="0ACDF5E8" w14:textId="77777777" w:rsidR="00A65F5F" w:rsidRDefault="00A65F5F" w:rsidP="00A65F5F">
      <w:pPr>
        <w:pStyle w:val="Prrafodelista"/>
      </w:pPr>
    </w:p>
    <w:p w14:paraId="1A5F72B1" w14:textId="77777777" w:rsidR="00A65F5F" w:rsidRPr="009739E6" w:rsidRDefault="00A65F5F" w:rsidP="00A65F5F">
      <w:pPr>
        <w:pStyle w:val="Prrafodelista"/>
        <w:numPr>
          <w:ilvl w:val="0"/>
          <w:numId w:val="6"/>
        </w:numPr>
        <w:ind w:right="-25"/>
      </w:pPr>
      <w:r w:rsidRPr="000649D0">
        <w:rPr>
          <w:b/>
        </w:rPr>
        <w:t xml:space="preserve">18 de Octubre de 1990: </w:t>
      </w:r>
      <w:r>
        <w:t>Se publica en La Gaceta, la Ley Nº7200, la cual permite la participación de empresas privadas en la generación eléctrica mediante el uso de fuentes renovables</w:t>
      </w:r>
    </w:p>
    <w:p w14:paraId="5ABFA69F" w14:textId="77777777" w:rsidR="00A65F5F" w:rsidRDefault="00A65F5F" w:rsidP="00A65F5F">
      <w:pPr>
        <w:pStyle w:val="Prrafodelista"/>
      </w:pPr>
    </w:p>
    <w:p w14:paraId="0568160E" w14:textId="77777777" w:rsidR="00A65F5F" w:rsidRPr="00973F2C" w:rsidRDefault="00A65F5F" w:rsidP="00A65F5F">
      <w:pPr>
        <w:pStyle w:val="Prrafodelista"/>
        <w:numPr>
          <w:ilvl w:val="0"/>
          <w:numId w:val="6"/>
        </w:numPr>
        <w:ind w:right="-25"/>
      </w:pPr>
      <w:r w:rsidRPr="00F42C86">
        <w:rPr>
          <w:b/>
        </w:rPr>
        <w:t>10 de Noviembre de 1992:</w:t>
      </w:r>
      <w:r>
        <w:t xml:space="preserve"> </w:t>
      </w:r>
      <w:r>
        <w:rPr>
          <w:lang w:val="es-ES"/>
        </w:rPr>
        <w:t xml:space="preserve">Entra en operación la planta Sandillal, ubicada en </w:t>
      </w:r>
      <w:r w:rsidRPr="007347EB">
        <w:rPr>
          <w:lang w:val="es-ES"/>
        </w:rPr>
        <w:t>Cañas, Guanacaste y aprovecha las aguas de Arenal. Consta de dos unidades idénticas con una potencia de 31 978kW.</w:t>
      </w:r>
    </w:p>
    <w:p w14:paraId="0522C6F8" w14:textId="77777777" w:rsidR="00A65F5F" w:rsidRDefault="00A65F5F" w:rsidP="00A65F5F">
      <w:pPr>
        <w:pStyle w:val="Prrafodelista"/>
      </w:pPr>
    </w:p>
    <w:p w14:paraId="2237CE32" w14:textId="77777777" w:rsidR="00A65F5F" w:rsidRPr="00E877AE" w:rsidRDefault="00A65F5F" w:rsidP="00A65F5F">
      <w:pPr>
        <w:pStyle w:val="Prrafodelista"/>
        <w:numPr>
          <w:ilvl w:val="0"/>
          <w:numId w:val="6"/>
        </w:numPr>
        <w:ind w:right="-25"/>
      </w:pPr>
      <w:r w:rsidRPr="00973F2C">
        <w:rPr>
          <w:b/>
        </w:rPr>
        <w:t>1993:</w:t>
      </w:r>
      <w:r>
        <w:t xml:space="preserve"> Se firma un acuerdo con el consorcio </w:t>
      </w:r>
      <w:r w:rsidRPr="00973F2C">
        <w:t>del cable submarino Columbus II en 1993. A este cable, que entró en operación en 1994, se conecta mediante un enlace de fibra óptica por México y a través de la Red Regional Digital Centroamérica</w:t>
      </w:r>
    </w:p>
    <w:p w14:paraId="51EE0D2F" w14:textId="77777777" w:rsidR="00A65F5F" w:rsidRDefault="00A65F5F" w:rsidP="00A65F5F">
      <w:pPr>
        <w:pStyle w:val="Prrafodelista"/>
      </w:pPr>
    </w:p>
    <w:p w14:paraId="347CA6AE" w14:textId="77777777" w:rsidR="00A65F5F" w:rsidRDefault="00A65F5F" w:rsidP="00A65F5F">
      <w:pPr>
        <w:pStyle w:val="Prrafodelista"/>
        <w:numPr>
          <w:ilvl w:val="0"/>
          <w:numId w:val="6"/>
        </w:numPr>
        <w:ind w:right="-25"/>
      </w:pPr>
      <w:r w:rsidRPr="008C61CC">
        <w:rPr>
          <w:b/>
        </w:rPr>
        <w:t>1994:</w:t>
      </w:r>
      <w:r>
        <w:t xml:space="preserve"> El ICE comienza a utilizar el estándar tecnológico para telefonía móvil AMPS (Advanced </w:t>
      </w:r>
      <w:r w:rsidRPr="00AD12E1">
        <w:t>Mobile Phone Systems), sustituido en 1997 por el sistema digital TDMA (Time Division Multiple Access)</w:t>
      </w:r>
      <w:r>
        <w:t>.</w:t>
      </w:r>
    </w:p>
    <w:p w14:paraId="2D133C8D" w14:textId="77777777" w:rsidR="00A65F5F" w:rsidRDefault="00A65F5F" w:rsidP="00A65F5F">
      <w:pPr>
        <w:pStyle w:val="Prrafodelista"/>
      </w:pPr>
    </w:p>
    <w:p w14:paraId="5606B0CF" w14:textId="77777777" w:rsidR="00A65F5F" w:rsidRPr="007347EB" w:rsidRDefault="00A65F5F" w:rsidP="00A65F5F">
      <w:pPr>
        <w:pStyle w:val="Prrafodelista"/>
        <w:numPr>
          <w:ilvl w:val="0"/>
          <w:numId w:val="6"/>
        </w:numPr>
        <w:ind w:right="-25"/>
      </w:pPr>
      <w:r w:rsidRPr="002153BD">
        <w:rPr>
          <w:b/>
        </w:rPr>
        <w:t>Abril 1994:</w:t>
      </w:r>
      <w:r>
        <w:t xml:space="preserve"> Se inaugura Radiográfica Costarricense, S.A. (RACSA) con el objetivo de expandir las posibilidades tecnológicas y de información entre empresas, facilitar el acceso y permitir el intercambio rápido de información actualizada.</w:t>
      </w:r>
    </w:p>
    <w:p w14:paraId="59B9C8E5" w14:textId="77777777" w:rsidR="00A65F5F" w:rsidRDefault="00A65F5F" w:rsidP="00A65F5F">
      <w:pPr>
        <w:pStyle w:val="Prrafodelista"/>
      </w:pPr>
    </w:p>
    <w:p w14:paraId="475CCEE9" w14:textId="77777777" w:rsidR="00A65F5F" w:rsidRDefault="00A65F5F" w:rsidP="00A65F5F">
      <w:pPr>
        <w:pStyle w:val="Prrafodelista"/>
        <w:numPr>
          <w:ilvl w:val="0"/>
          <w:numId w:val="6"/>
        </w:numPr>
        <w:ind w:right="-25"/>
      </w:pPr>
      <w:r w:rsidRPr="00F42C86">
        <w:rPr>
          <w:b/>
        </w:rPr>
        <w:t>20 de Setiembre de 1995:</w:t>
      </w:r>
      <w:r>
        <w:t xml:space="preserve"> Entra en operación la planta Toro I</w:t>
      </w:r>
    </w:p>
    <w:p w14:paraId="4E7A92B1" w14:textId="77777777" w:rsidR="00A65F5F" w:rsidRDefault="00A65F5F" w:rsidP="00A65F5F">
      <w:pPr>
        <w:pStyle w:val="Prrafodelista"/>
      </w:pPr>
    </w:p>
    <w:p w14:paraId="4F5A662B" w14:textId="77777777" w:rsidR="00A65F5F" w:rsidRDefault="00A65F5F" w:rsidP="00A65F5F">
      <w:pPr>
        <w:pStyle w:val="Prrafodelista"/>
        <w:numPr>
          <w:ilvl w:val="0"/>
          <w:numId w:val="6"/>
        </w:numPr>
        <w:ind w:right="-25"/>
      </w:pPr>
      <w:r w:rsidRPr="00936DCC">
        <w:rPr>
          <w:b/>
        </w:rPr>
        <w:t>1996:</w:t>
      </w:r>
      <w:r>
        <w:t xml:space="preserve"> Se firma </w:t>
      </w:r>
      <w:r w:rsidRPr="00936DCC">
        <w:t xml:space="preserve">el acuerdo con el cable </w:t>
      </w:r>
      <w:r>
        <w:t xml:space="preserve">submarino </w:t>
      </w:r>
      <w:r w:rsidRPr="00936DCC">
        <w:t>Panamericano que entró en funcionamiento en 1999. A él también se conecta a través de la Red Regional Digital Centroamérica</w:t>
      </w:r>
    </w:p>
    <w:p w14:paraId="5A0E5F9A" w14:textId="77777777" w:rsidR="00A65F5F" w:rsidRDefault="00A65F5F" w:rsidP="00A65F5F">
      <w:pPr>
        <w:pStyle w:val="Prrafodelista"/>
      </w:pPr>
    </w:p>
    <w:p w14:paraId="74768AEE" w14:textId="77777777" w:rsidR="00A65F5F" w:rsidRDefault="00A65F5F" w:rsidP="00A65F5F">
      <w:pPr>
        <w:pStyle w:val="Prrafodelista"/>
        <w:numPr>
          <w:ilvl w:val="0"/>
          <w:numId w:val="6"/>
        </w:numPr>
        <w:ind w:right="-25"/>
      </w:pPr>
      <w:r w:rsidRPr="00F42C86">
        <w:rPr>
          <w:b/>
        </w:rPr>
        <w:t>30 de Agosto de 1996:</w:t>
      </w:r>
      <w:r>
        <w:t xml:space="preserve"> Comienza operaciones la planta Toro II. Tanto las plantas Toro I como Toro II, están ubicadas en el cantón de Valverde Vega, en Alajuela, </w:t>
      </w:r>
      <w:r w:rsidRPr="00FB2833">
        <w:t>en un lugar llamado Bajos del Toro y las dos emplean las aguas del río Toro en cascada. Cada una tiene dos unidades idénticas. Toro l con una potencia conjunta de 23 206kw y Toro ll con una potencia conjunta de 65 763kW.</w:t>
      </w:r>
    </w:p>
    <w:p w14:paraId="02BCD390" w14:textId="77777777" w:rsidR="00A65F5F" w:rsidRDefault="00A65F5F" w:rsidP="00A65F5F">
      <w:pPr>
        <w:pStyle w:val="Prrafodelista"/>
      </w:pPr>
    </w:p>
    <w:p w14:paraId="210CDB9C" w14:textId="77777777" w:rsidR="00A65F5F" w:rsidRDefault="00A65F5F" w:rsidP="00A65F5F">
      <w:pPr>
        <w:pStyle w:val="Prrafodelista"/>
        <w:numPr>
          <w:ilvl w:val="0"/>
          <w:numId w:val="6"/>
        </w:numPr>
        <w:ind w:right="-25"/>
      </w:pPr>
      <w:r w:rsidRPr="00F65C75">
        <w:rPr>
          <w:b/>
        </w:rPr>
        <w:t>Febrero 1998:</w:t>
      </w:r>
      <w:r>
        <w:t xml:space="preserve"> </w:t>
      </w:r>
      <w:r w:rsidRPr="00F65C75">
        <w:t xml:space="preserve">El ICE firmó el acuerdo de construcción y mantenimiento del Columbus III con el Consorcio respectivo. </w:t>
      </w:r>
      <w:r>
        <w:t>Dicho cable submarino c</w:t>
      </w:r>
      <w:r w:rsidRPr="00F65C75">
        <w:t>onecta la Florida (EE.UU), Lisboa (Portugal), Conil (España) y Mazara (Italia). Como este cable no aterriza en Costa Rica, el Instituto se enlaza al mismo a través del Columbus II y del Maya-I</w:t>
      </w:r>
    </w:p>
    <w:p w14:paraId="0551AE2B" w14:textId="77777777" w:rsidR="00A65F5F" w:rsidRDefault="00A65F5F" w:rsidP="00A65F5F">
      <w:pPr>
        <w:pStyle w:val="Prrafodelista"/>
      </w:pPr>
    </w:p>
    <w:p w14:paraId="29935E78" w14:textId="77777777" w:rsidR="00A65F5F" w:rsidRDefault="00A65F5F" w:rsidP="00A65F5F">
      <w:pPr>
        <w:pStyle w:val="Prrafodelista"/>
        <w:numPr>
          <w:ilvl w:val="0"/>
          <w:numId w:val="6"/>
        </w:numPr>
        <w:ind w:right="-25"/>
      </w:pPr>
      <w:r w:rsidRPr="00072FA7">
        <w:rPr>
          <w:b/>
        </w:rPr>
        <w:t>Setiembre 1998:</w:t>
      </w:r>
      <w:r>
        <w:t xml:space="preserve"> El ICE firma</w:t>
      </w:r>
      <w:r w:rsidRPr="00072FA7">
        <w:t xml:space="preserve"> conjuntamente con otras 38 compañías de Telecomunicaciones Internacionales, el Acuerdo de Construcción y Mantenimiento </w:t>
      </w:r>
      <w:r>
        <w:t>del cable submarino Maya 1</w:t>
      </w:r>
      <w:r w:rsidRPr="00072FA7">
        <w:t>, dándose inicio a la construcción del proyecto la cual duró 22 meses</w:t>
      </w:r>
      <w:r>
        <w:t>.</w:t>
      </w:r>
      <w:r w:rsidRPr="00072FA7">
        <w:t xml:space="preserve"> El Cable Submarino Maya-1 es un proyecto de tipo Consorcio que conecta a La Florida (EE.UU.) con Tolú (Colombia), pasando por Cancún (México), Puerto Cortés (Honduras), Gran Caymán (Islas Caymán), Puerto Limón (Costa Rica) y Colón (Panamá</w:t>
      </w:r>
      <w:r>
        <w:t>)</w:t>
      </w:r>
    </w:p>
    <w:p w14:paraId="159BF9F0" w14:textId="77777777" w:rsidR="00A65F5F" w:rsidRDefault="00A65F5F" w:rsidP="00A65F5F">
      <w:pPr>
        <w:pStyle w:val="Prrafodelista"/>
      </w:pPr>
    </w:p>
    <w:p w14:paraId="1BD02596" w14:textId="77777777" w:rsidR="00A65F5F" w:rsidRDefault="00A65F5F" w:rsidP="00A65F5F">
      <w:pPr>
        <w:pStyle w:val="Prrafodelista"/>
        <w:numPr>
          <w:ilvl w:val="0"/>
          <w:numId w:val="6"/>
        </w:numPr>
        <w:ind w:right="-25"/>
      </w:pPr>
      <w:r w:rsidRPr="00767BCD">
        <w:rPr>
          <w:b/>
        </w:rPr>
        <w:t>2000:</w:t>
      </w:r>
      <w:r>
        <w:t xml:space="preserve"> S</w:t>
      </w:r>
      <w:r w:rsidRPr="00767BCD">
        <w:t>e desarrolló una gran infraestructura celular con dos centrales telefónicas con capacidad para 223.000 líneas. Al finalizar dicho periodo los usuarios se elevaban a unos 205.275, lo que supone una densidad de 5,37 teléfonos móviles por cada 100 habitantes. En 2001 esas cifras se superaron lográndose 311.329 clientes y una densidad de 7,5</w:t>
      </w:r>
    </w:p>
    <w:p w14:paraId="1B3EA437" w14:textId="77777777" w:rsidR="00A65F5F" w:rsidRDefault="00A65F5F" w:rsidP="00A65F5F">
      <w:pPr>
        <w:pStyle w:val="Prrafodelista"/>
      </w:pPr>
    </w:p>
    <w:p w14:paraId="4D2E98B6" w14:textId="77777777" w:rsidR="00A65F5F" w:rsidRDefault="00A65F5F" w:rsidP="00A65F5F">
      <w:pPr>
        <w:pStyle w:val="Prrafodelista"/>
        <w:numPr>
          <w:ilvl w:val="0"/>
          <w:numId w:val="6"/>
        </w:numPr>
        <w:ind w:right="-25"/>
      </w:pPr>
      <w:r w:rsidRPr="00660147">
        <w:rPr>
          <w:b/>
        </w:rPr>
        <w:t>Mayo del 2000:</w:t>
      </w:r>
      <w:r>
        <w:t xml:space="preserve"> Se pone en marcha el Proyecto 15.000 TVP, contribuyendo al aumento de la telefonía pública del país, ya que bajo su financiación se instalaron 4.371 teléfonos públicos.</w:t>
      </w:r>
    </w:p>
    <w:p w14:paraId="0FA569F1" w14:textId="77777777" w:rsidR="00A65F5F" w:rsidRDefault="00A65F5F" w:rsidP="00A65F5F">
      <w:pPr>
        <w:pStyle w:val="Prrafodelista"/>
      </w:pPr>
    </w:p>
    <w:p w14:paraId="57DE04A3" w14:textId="77777777" w:rsidR="00A65F5F" w:rsidRDefault="00A65F5F" w:rsidP="00A65F5F">
      <w:pPr>
        <w:pStyle w:val="Prrafodelista"/>
        <w:numPr>
          <w:ilvl w:val="0"/>
          <w:numId w:val="6"/>
        </w:numPr>
        <w:ind w:right="-25"/>
      </w:pPr>
      <w:r w:rsidRPr="001D28A7">
        <w:rPr>
          <w:b/>
        </w:rPr>
        <w:t>Mayo del 2000</w:t>
      </w:r>
      <w:r>
        <w:t>: Se</w:t>
      </w:r>
      <w:r w:rsidRPr="001D28A7">
        <w:t xml:space="preserve"> inaugura</w:t>
      </w:r>
      <w:r>
        <w:t xml:space="preserve"> </w:t>
      </w:r>
      <w:r w:rsidRPr="001D28A7">
        <w:t>el Centro de Atención telefónica a clientes de telefonía pública</w:t>
      </w:r>
    </w:p>
    <w:p w14:paraId="7B64C2FE" w14:textId="77777777" w:rsidR="00A65F5F" w:rsidRDefault="00A65F5F" w:rsidP="00A65F5F">
      <w:pPr>
        <w:pStyle w:val="Prrafodelista"/>
      </w:pPr>
    </w:p>
    <w:p w14:paraId="63998C0C" w14:textId="77777777" w:rsidR="00A65F5F" w:rsidRDefault="00A65F5F" w:rsidP="00A65F5F">
      <w:pPr>
        <w:pStyle w:val="Prrafodelista"/>
        <w:numPr>
          <w:ilvl w:val="0"/>
          <w:numId w:val="6"/>
        </w:numPr>
        <w:ind w:right="-25"/>
      </w:pPr>
      <w:r w:rsidRPr="002B6AD7">
        <w:rPr>
          <w:b/>
        </w:rPr>
        <w:t>2001:</w:t>
      </w:r>
      <w:r>
        <w:t xml:space="preserve"> El ICE firma un acuerdo, en consorcio con otras empresas, de construcción y mantenimiento del cable submarino Arcos. El sistema consta de veinticuatro puntos de aterrizaje enlazados por una red submarina de fibra óptica con una topología de anillo. Este anillo traza la geografía natural de la Cuenca del Caribe. La sección occidental del anillo comienza en Florida y cruza el Golfo de México hasta la Península de Yucatán, desde este punto sigue hacia las costas caribeñas de Honduras, Belice, Guatemala, Nicaragua, Costa Rica y Panamá hasta llegar a la zona norte de Sur América. La sección oriental del anillo comienza en Florida, continuando por las Bahamas, Turks &amp; Caicos, República Dominicana y Puerto Rico en el Caribe, desde allí hasta Curacao, Venezuela y Colombia</w:t>
      </w:r>
    </w:p>
    <w:p w14:paraId="149E9947" w14:textId="77777777" w:rsidR="00A65F5F" w:rsidRDefault="00A65F5F" w:rsidP="00A65F5F">
      <w:pPr>
        <w:pStyle w:val="Prrafodelista"/>
      </w:pPr>
    </w:p>
    <w:p w14:paraId="236B085E" w14:textId="77777777" w:rsidR="00A65F5F" w:rsidRDefault="00A65F5F" w:rsidP="00A65F5F">
      <w:pPr>
        <w:pStyle w:val="Prrafodelista"/>
        <w:numPr>
          <w:ilvl w:val="0"/>
          <w:numId w:val="6"/>
        </w:numPr>
        <w:ind w:right="-25"/>
      </w:pPr>
      <w:r w:rsidRPr="00513415">
        <w:rPr>
          <w:b/>
        </w:rPr>
        <w:t>18 Abril del 2001:</w:t>
      </w:r>
      <w:r>
        <w:t xml:space="preserve"> </w:t>
      </w:r>
      <w:r w:rsidRPr="00513415">
        <w:t>se inauguró el Plan Piloto para el establecimiento de la Red Internet Avanzada. Este proyecto que parte del Presidente de la República, y en el que participa el ICE y el Ministerio de Ciencia y Tecnología tiene como objetivo crear una red avanzada basada en el protocolo IP para modernizar el Sistema Nacional de Telecomunicaciones.</w:t>
      </w:r>
    </w:p>
    <w:p w14:paraId="5C2CD43D" w14:textId="77777777" w:rsidR="00A65F5F" w:rsidRDefault="00A65F5F" w:rsidP="00A65F5F">
      <w:pPr>
        <w:pStyle w:val="Prrafodelista"/>
      </w:pPr>
    </w:p>
    <w:p w14:paraId="3ED71D0C" w14:textId="77777777" w:rsidR="00A65F5F" w:rsidRDefault="00A65F5F" w:rsidP="00A65F5F">
      <w:pPr>
        <w:pStyle w:val="Prrafodelista"/>
        <w:numPr>
          <w:ilvl w:val="0"/>
          <w:numId w:val="6"/>
        </w:numPr>
        <w:ind w:right="-25"/>
      </w:pPr>
      <w:r w:rsidRPr="00F42C86">
        <w:rPr>
          <w:b/>
        </w:rPr>
        <w:t>17 de Octubre de 2002:</w:t>
      </w:r>
      <w:r>
        <w:t xml:space="preserve"> Entra en operaciones la planta Angostura, ubicada en </w:t>
      </w:r>
      <w:r w:rsidRPr="00FB2833">
        <w:t>Turrialba de Cartago y emplea las aguas del río Reventazón. Consta de tres unidades idénticas con una potencia conjunta de 172 203kW.</w:t>
      </w:r>
    </w:p>
    <w:p w14:paraId="5D823CFC" w14:textId="77777777" w:rsidR="00A65F5F" w:rsidRDefault="00A65F5F" w:rsidP="00A65F5F">
      <w:pPr>
        <w:pStyle w:val="Prrafodelista"/>
      </w:pPr>
    </w:p>
    <w:p w14:paraId="686A7167" w14:textId="77777777" w:rsidR="00A65F5F" w:rsidRDefault="00A65F5F" w:rsidP="00A65F5F">
      <w:pPr>
        <w:pStyle w:val="Prrafodelista"/>
        <w:numPr>
          <w:ilvl w:val="0"/>
          <w:numId w:val="6"/>
        </w:numPr>
        <w:ind w:right="-25"/>
      </w:pPr>
      <w:r w:rsidRPr="00F42C86">
        <w:rPr>
          <w:b/>
        </w:rPr>
        <w:t>Agosto 2002:</w:t>
      </w:r>
      <w:r>
        <w:t xml:space="preserve"> Comienza a </w:t>
      </w:r>
      <w:r w:rsidRPr="001C7469">
        <w:t>operar la planta Peñas Blancas</w:t>
      </w:r>
      <w:r>
        <w:t xml:space="preserve"> ubicada en los cantones de San Ramón y San Carlos, en Alajuela y utiliza las aguas del río Peñas Blancas. Tiene dos unidades idénticas con una potencia conjunta de 38.172 kW.</w:t>
      </w:r>
    </w:p>
    <w:p w14:paraId="568D5ECC" w14:textId="77777777" w:rsidR="00A65F5F" w:rsidRDefault="00A65F5F" w:rsidP="00A65F5F">
      <w:pPr>
        <w:pStyle w:val="Prrafodelista"/>
      </w:pPr>
    </w:p>
    <w:p w14:paraId="087AA4E9" w14:textId="77777777" w:rsidR="00A65F5F" w:rsidRDefault="00A65F5F" w:rsidP="00A65F5F">
      <w:pPr>
        <w:pStyle w:val="Prrafodelista"/>
        <w:numPr>
          <w:ilvl w:val="0"/>
          <w:numId w:val="6"/>
        </w:numPr>
        <w:ind w:right="-25"/>
      </w:pPr>
      <w:r w:rsidRPr="00FB6008">
        <w:rPr>
          <w:b/>
        </w:rPr>
        <w:t>Diciembre 2002:</w:t>
      </w:r>
      <w:r>
        <w:t xml:space="preserve"> Se inicia la comercialización de las primeras 400.000 líneas de tecnología GSM (Alcatel)</w:t>
      </w:r>
    </w:p>
    <w:p w14:paraId="6415283A" w14:textId="77777777" w:rsidR="00A65F5F" w:rsidRDefault="00A65F5F" w:rsidP="00A65F5F">
      <w:pPr>
        <w:pStyle w:val="Prrafodelista"/>
      </w:pPr>
    </w:p>
    <w:p w14:paraId="1AB53202" w14:textId="77777777" w:rsidR="00A65F5F" w:rsidRDefault="00A65F5F" w:rsidP="00A65F5F">
      <w:pPr>
        <w:pStyle w:val="Prrafodelista"/>
        <w:numPr>
          <w:ilvl w:val="0"/>
          <w:numId w:val="6"/>
        </w:numPr>
        <w:ind w:right="-25"/>
      </w:pPr>
      <w:r w:rsidRPr="005B3E8D">
        <w:rPr>
          <w:b/>
        </w:rPr>
        <w:t>Octubre del 2003:</w:t>
      </w:r>
      <w:r>
        <w:t xml:space="preserve"> Se firma un contrato de arrendamiento de la planta hidroeléctrica Cariblanco, por un plazo de 147 meses (12,3 años). Este proyecto se encuentra ubicado en el distrito de Sarapiquí del Cantón Central de la Provincia de Alajuela y aprovecha las aguas del río Sarapiquí. El proyecto cuenta con dos turbinas tipo Francis, cuya capacidad de generación es de 80 MW. El contrato de alquiler fue firmado con el Fideicomiso de Titularización Cariblanco, vehículo que fue creado para buscar el financiamiento para la construcción de la planta hidroeléctrica. Al finalizar el plazo de arrendamiento, el ICE podrá ejercer la opción de compra. </w:t>
      </w:r>
    </w:p>
    <w:p w14:paraId="344C30A6" w14:textId="77777777" w:rsidR="00A65F5F" w:rsidRDefault="00A65F5F" w:rsidP="00A65F5F">
      <w:pPr>
        <w:pStyle w:val="Prrafodelista"/>
      </w:pPr>
    </w:p>
    <w:p w14:paraId="69F31370" w14:textId="77777777" w:rsidR="00A65F5F" w:rsidRDefault="00A65F5F" w:rsidP="00A65F5F">
      <w:pPr>
        <w:pStyle w:val="Prrafodelista"/>
        <w:numPr>
          <w:ilvl w:val="0"/>
          <w:numId w:val="6"/>
        </w:numPr>
        <w:ind w:right="-25"/>
      </w:pPr>
      <w:r w:rsidRPr="00132DC0">
        <w:rPr>
          <w:b/>
        </w:rPr>
        <w:t>Diciembre del 2005:</w:t>
      </w:r>
      <w:r>
        <w:t xml:space="preserve"> Se inicia la comercialización de 600.000 líneas celulares de tecnología GSM (Ericsson)</w:t>
      </w:r>
    </w:p>
    <w:p w14:paraId="2D3DA64D" w14:textId="77777777" w:rsidR="00A65F5F" w:rsidRDefault="00A65F5F" w:rsidP="00A65F5F">
      <w:pPr>
        <w:pStyle w:val="Prrafodelista"/>
      </w:pPr>
    </w:p>
    <w:p w14:paraId="3121A00E" w14:textId="77777777" w:rsidR="00A65F5F" w:rsidRDefault="00A65F5F" w:rsidP="00A65F5F">
      <w:pPr>
        <w:pStyle w:val="Prrafodelista"/>
        <w:numPr>
          <w:ilvl w:val="0"/>
          <w:numId w:val="6"/>
        </w:numPr>
        <w:ind w:right="-25"/>
      </w:pPr>
      <w:r w:rsidRPr="00DA091F">
        <w:rPr>
          <w:b/>
        </w:rPr>
        <w:t xml:space="preserve">2007: </w:t>
      </w:r>
      <w:r w:rsidRPr="00DA091F">
        <w:t>En el año 2007 el ICE puso en marcha una red nacional de transporte IP que aporta toda la inteligencia de la ingeniería de tráfico de red.  Esta tecnología está basada en el protocolo MPLS, el cual garantiza anchos de banda y calidad de servicio</w:t>
      </w:r>
    </w:p>
    <w:p w14:paraId="720608E2" w14:textId="77777777" w:rsidR="00A65F5F" w:rsidRDefault="00A65F5F" w:rsidP="00A65F5F">
      <w:pPr>
        <w:pStyle w:val="Prrafodelista"/>
        <w:ind w:left="0" w:right="-25"/>
      </w:pPr>
    </w:p>
    <w:p w14:paraId="6C8FB119" w14:textId="77777777" w:rsidR="00A65F5F" w:rsidRDefault="00A65F5F" w:rsidP="00A65F5F">
      <w:pPr>
        <w:pStyle w:val="Prrafodelista"/>
        <w:numPr>
          <w:ilvl w:val="0"/>
          <w:numId w:val="6"/>
        </w:numPr>
        <w:ind w:right="-25"/>
      </w:pPr>
      <w:r w:rsidRPr="008E1DD5">
        <w:rPr>
          <w:b/>
        </w:rPr>
        <w:t>Noviembre del 2007:</w:t>
      </w:r>
      <w:r>
        <w:t xml:space="preserve"> Se firma el contrato de arrendamiento de la planta térmica Garabito, por un plazo de 142 meses (11,8 años), a partir del 1 de junio del 2010. Este proyecto se ubica en el distrito Montes de Oro, del cantón de Miramar, Puntarenas. Esta planta térmica estaría compuesta de turbinas de gas que operarían con combustible diésel. La planta tendría una capacidad total de entre 120 y 180 MW bajo las condiciones del sitio y operando en ciclo combinado. El contrato de alquiler fue firmado con el Fideicomiso de Titularización PTGarabito, vehículo que fue creado para buscar el financiamiento para la construcción de la planta hidroeléctrica. Al finalizar el plazo de arrendamiento, el ICE podrá ejercer la opción de compra. </w:t>
      </w:r>
    </w:p>
    <w:p w14:paraId="5F89F49B" w14:textId="77777777" w:rsidR="00A65F5F" w:rsidRDefault="00A65F5F" w:rsidP="00A65F5F">
      <w:pPr>
        <w:pStyle w:val="Prrafodelista"/>
      </w:pPr>
    </w:p>
    <w:p w14:paraId="4A79C722" w14:textId="77777777" w:rsidR="00A65F5F" w:rsidRDefault="00A65F5F" w:rsidP="00A65F5F">
      <w:pPr>
        <w:pStyle w:val="Prrafodelista"/>
        <w:numPr>
          <w:ilvl w:val="0"/>
          <w:numId w:val="6"/>
        </w:numPr>
        <w:ind w:right="-25"/>
      </w:pPr>
      <w:r w:rsidRPr="00132DC0">
        <w:rPr>
          <w:b/>
        </w:rPr>
        <w:t>Diciembre del 2007:</w:t>
      </w:r>
      <w:r>
        <w:t xml:space="preserve"> Se inicia la comercialización de 300.000 líneas celulares de tecnología GSM (Ericsson)</w:t>
      </w:r>
    </w:p>
    <w:p w14:paraId="3CD9419D" w14:textId="77777777" w:rsidR="00A65F5F" w:rsidRDefault="00A65F5F" w:rsidP="00A65F5F">
      <w:pPr>
        <w:pStyle w:val="Prrafodelista"/>
      </w:pPr>
    </w:p>
    <w:p w14:paraId="75B6EAD7" w14:textId="77777777" w:rsidR="00A65F5F" w:rsidRDefault="00A65F5F" w:rsidP="00A65F5F">
      <w:pPr>
        <w:pStyle w:val="Prrafodelista"/>
        <w:numPr>
          <w:ilvl w:val="0"/>
          <w:numId w:val="6"/>
        </w:numPr>
        <w:ind w:right="-25"/>
      </w:pPr>
      <w:r w:rsidRPr="00B76385">
        <w:rPr>
          <w:b/>
        </w:rPr>
        <w:t>14 Mayo 2008:</w:t>
      </w:r>
      <w:r>
        <w:t xml:space="preserve"> Se aprueba en la Asamblea Legislativa la Ley General de Telecomunicaciones la cual permite la apertura de este mercado a competidores privados, siempre que obtengan concesiones o autorización del Estado.</w:t>
      </w:r>
    </w:p>
    <w:p w14:paraId="055C2CE6" w14:textId="77777777" w:rsidR="00A65F5F" w:rsidRDefault="00A65F5F" w:rsidP="00A65F5F">
      <w:pPr>
        <w:pStyle w:val="Prrafodelista"/>
      </w:pPr>
    </w:p>
    <w:p w14:paraId="3C333185" w14:textId="77777777" w:rsidR="00A65F5F" w:rsidRDefault="00A65F5F" w:rsidP="00A65F5F">
      <w:pPr>
        <w:pStyle w:val="Prrafodelista"/>
        <w:numPr>
          <w:ilvl w:val="0"/>
          <w:numId w:val="6"/>
        </w:numPr>
        <w:ind w:right="-25"/>
      </w:pPr>
      <w:r w:rsidRPr="001F15BB">
        <w:rPr>
          <w:b/>
        </w:rPr>
        <w:t>29 de Julio del 2008:</w:t>
      </w:r>
      <w:r>
        <w:t xml:space="preserve"> Se aprueba la Ley de Fortalecimiento y Modernización de las Entidades Públicas del sector Telecomunicaciones, que complementa a la Ley para abrir el monopolio estatal en este campo.</w:t>
      </w:r>
    </w:p>
    <w:p w14:paraId="12FF9D7A" w14:textId="77777777" w:rsidR="00A65F5F" w:rsidRDefault="00A65F5F" w:rsidP="00A65F5F">
      <w:pPr>
        <w:pStyle w:val="Prrafodelista"/>
        <w:ind w:left="0" w:right="-25"/>
      </w:pPr>
    </w:p>
    <w:p w14:paraId="734902D8" w14:textId="77777777" w:rsidR="00A65F5F" w:rsidRDefault="00A65F5F" w:rsidP="00A65F5F">
      <w:pPr>
        <w:pStyle w:val="Prrafodelista"/>
        <w:numPr>
          <w:ilvl w:val="0"/>
          <w:numId w:val="6"/>
        </w:numPr>
        <w:ind w:right="-25"/>
      </w:pPr>
      <w:r w:rsidRPr="001649DE">
        <w:rPr>
          <w:b/>
        </w:rPr>
        <w:t>Julio del 2008:</w:t>
      </w:r>
      <w:r>
        <w:t xml:space="preserve"> Conexión del cable submarino del Pacífico</w:t>
      </w:r>
    </w:p>
    <w:p w14:paraId="52FF1B25" w14:textId="77777777" w:rsidR="00A65F5F" w:rsidRPr="004A180F" w:rsidRDefault="00A65F5F" w:rsidP="00A65F5F">
      <w:pPr>
        <w:pStyle w:val="Prrafodelista"/>
        <w:ind w:left="0" w:right="-25"/>
        <w:rPr>
          <w:b/>
        </w:rPr>
      </w:pPr>
    </w:p>
    <w:p w14:paraId="1FC12BE4" w14:textId="77777777" w:rsidR="00A65F5F" w:rsidRDefault="00A65F5F" w:rsidP="00A65F5F">
      <w:pPr>
        <w:pStyle w:val="Prrafodelista"/>
        <w:numPr>
          <w:ilvl w:val="0"/>
          <w:numId w:val="6"/>
        </w:numPr>
        <w:ind w:right="-25"/>
      </w:pPr>
      <w:r w:rsidRPr="004A180F">
        <w:rPr>
          <w:b/>
        </w:rPr>
        <w:t>Diciembre del 2008</w:t>
      </w:r>
      <w:r w:rsidRPr="001649DE">
        <w:rPr>
          <w:b/>
        </w:rPr>
        <w:t>:</w:t>
      </w:r>
      <w:r>
        <w:t xml:space="preserve"> Capitalización Plataforma acceso Multiservicio Nal por ¢35 mil millones</w:t>
      </w:r>
    </w:p>
    <w:p w14:paraId="50BD8E50" w14:textId="77777777" w:rsidR="00A65F5F" w:rsidRDefault="00A65F5F" w:rsidP="00A65F5F">
      <w:pPr>
        <w:pStyle w:val="Prrafodelista"/>
      </w:pPr>
    </w:p>
    <w:p w14:paraId="13096DA7" w14:textId="77777777" w:rsidR="00A65F5F" w:rsidRDefault="00A65F5F" w:rsidP="00A65F5F">
      <w:pPr>
        <w:pStyle w:val="Prrafodelista"/>
        <w:numPr>
          <w:ilvl w:val="0"/>
          <w:numId w:val="6"/>
        </w:numPr>
        <w:ind w:right="-25"/>
      </w:pPr>
      <w:r w:rsidRPr="00823A92">
        <w:rPr>
          <w:b/>
        </w:rPr>
        <w:t>1 de Enero del 2009:</w:t>
      </w:r>
      <w:r>
        <w:t xml:space="preserve"> Comienza a regir el Tratado de Libre Comercio entre Costa Rica y los Estados Unidos, el cual establece la apertura gradual de la competencia en el sector de telecomunicaciones. </w:t>
      </w:r>
    </w:p>
    <w:p w14:paraId="6BC06A4B" w14:textId="77777777" w:rsidR="00A65F5F" w:rsidRDefault="00A65F5F" w:rsidP="00A65F5F">
      <w:pPr>
        <w:pStyle w:val="Prrafodelista"/>
      </w:pPr>
    </w:p>
    <w:p w14:paraId="4FBABC27" w14:textId="77777777" w:rsidR="00A65F5F" w:rsidRDefault="00A65F5F" w:rsidP="00A65F5F">
      <w:pPr>
        <w:pStyle w:val="Prrafodelista"/>
        <w:numPr>
          <w:ilvl w:val="0"/>
          <w:numId w:val="6"/>
        </w:numPr>
        <w:ind w:right="-25"/>
      </w:pPr>
      <w:r w:rsidRPr="00823A92">
        <w:rPr>
          <w:b/>
        </w:rPr>
        <w:t>26 de Enero del 2009:</w:t>
      </w:r>
      <w:r>
        <w:t xml:space="preserve"> Queda conformada la nueva Superintendencia de Telecomunicaciones (SUTEL) Entre otras funciones, este órgano deberá garantizar la competencia en la comercialización de servicios con la telefonía e Internet, los cuales </w:t>
      </w:r>
      <w:r w:rsidRPr="007C0020">
        <w:t xml:space="preserve">hasta </w:t>
      </w:r>
      <w:r>
        <w:t>esa fecha</w:t>
      </w:r>
      <w:r w:rsidRPr="007C0020">
        <w:t xml:space="preserve"> han sido un monopolio estatal en manos del ICE</w:t>
      </w:r>
      <w:r>
        <w:t>.</w:t>
      </w:r>
    </w:p>
    <w:p w14:paraId="49D0F637" w14:textId="77777777" w:rsidR="00A65F5F" w:rsidRDefault="00A65F5F" w:rsidP="00A65F5F">
      <w:pPr>
        <w:pStyle w:val="Prrafodelista"/>
      </w:pPr>
    </w:p>
    <w:p w14:paraId="708271D8" w14:textId="77777777" w:rsidR="00A65F5F" w:rsidRDefault="00A65F5F" w:rsidP="00A65F5F">
      <w:pPr>
        <w:pStyle w:val="Prrafodelista"/>
        <w:numPr>
          <w:ilvl w:val="0"/>
          <w:numId w:val="6"/>
        </w:numPr>
        <w:ind w:right="-25"/>
      </w:pPr>
      <w:r w:rsidRPr="00132DC0">
        <w:rPr>
          <w:b/>
        </w:rPr>
        <w:t>Enero 2009:</w:t>
      </w:r>
      <w:r>
        <w:t xml:space="preserve"> Se </w:t>
      </w:r>
      <w:r w:rsidRPr="00132DC0">
        <w:t>inicia la comercialización de 300.000 nuevas líneas GSM</w:t>
      </w:r>
    </w:p>
    <w:p w14:paraId="575671D0" w14:textId="77777777" w:rsidR="00A65F5F" w:rsidRDefault="00A65F5F" w:rsidP="00A65F5F">
      <w:pPr>
        <w:pStyle w:val="Prrafodelista"/>
      </w:pPr>
    </w:p>
    <w:p w14:paraId="2A592CA1" w14:textId="77777777" w:rsidR="00A65F5F" w:rsidRDefault="00A65F5F" w:rsidP="00A65F5F">
      <w:pPr>
        <w:pStyle w:val="Prrafodelista"/>
        <w:numPr>
          <w:ilvl w:val="0"/>
          <w:numId w:val="6"/>
        </w:numPr>
        <w:ind w:right="-25"/>
      </w:pPr>
      <w:r w:rsidRPr="006A7B1D">
        <w:rPr>
          <w:b/>
        </w:rPr>
        <w:t>Agosto 2009:</w:t>
      </w:r>
      <w:r>
        <w:t xml:space="preserve"> Inauguración de la Subestación Parrita para la ampliación de la red eléctrica nacional.  </w:t>
      </w:r>
    </w:p>
    <w:p w14:paraId="3A11DDD4" w14:textId="77777777" w:rsidR="00A65F5F" w:rsidRDefault="00A65F5F" w:rsidP="00A65F5F">
      <w:pPr>
        <w:pStyle w:val="Prrafodelista"/>
        <w:ind w:left="0"/>
      </w:pPr>
    </w:p>
    <w:p w14:paraId="5A77D07A" w14:textId="77777777" w:rsidR="00A65F5F" w:rsidRPr="00320F61" w:rsidRDefault="00A65F5F" w:rsidP="00A65F5F">
      <w:pPr>
        <w:pStyle w:val="Prrafodelista"/>
        <w:numPr>
          <w:ilvl w:val="0"/>
          <w:numId w:val="6"/>
        </w:numPr>
        <w:ind w:right="-25"/>
      </w:pPr>
      <w:r>
        <w:rPr>
          <w:b/>
        </w:rPr>
        <w:t xml:space="preserve">Setiembre 2009: </w:t>
      </w:r>
      <w:r w:rsidRPr="00320F61">
        <w:t>Fitch Cent</w:t>
      </w:r>
      <w:r>
        <w:t>roamérica otorgó</w:t>
      </w:r>
      <w:r w:rsidRPr="00320F61">
        <w:t xml:space="preserve"> calificación de riesgo AAA (cri) al ICE </w:t>
      </w:r>
      <w:r>
        <w:t>y a los programas de E</w:t>
      </w:r>
      <w:r w:rsidRPr="00320F61">
        <w:t xml:space="preserve">misiones de </w:t>
      </w:r>
      <w:r>
        <w:t>B</w:t>
      </w:r>
      <w:r w:rsidRPr="00320F61">
        <w:t xml:space="preserve">onos Estandarizados A y B. </w:t>
      </w:r>
    </w:p>
    <w:p w14:paraId="4185B695" w14:textId="77777777" w:rsidR="00A65F5F" w:rsidRPr="00320F61" w:rsidRDefault="00A65F5F" w:rsidP="00A65F5F">
      <w:pPr>
        <w:pStyle w:val="Prrafodelista"/>
        <w:ind w:left="0" w:right="-25"/>
      </w:pPr>
    </w:p>
    <w:p w14:paraId="41BA38F0" w14:textId="77777777" w:rsidR="00A65F5F" w:rsidRDefault="00A65F5F" w:rsidP="00A65F5F">
      <w:pPr>
        <w:pStyle w:val="Prrafodelista"/>
        <w:numPr>
          <w:ilvl w:val="0"/>
          <w:numId w:val="6"/>
        </w:numPr>
        <w:ind w:right="-25"/>
      </w:pPr>
      <w:r>
        <w:rPr>
          <w:b/>
        </w:rPr>
        <w:t xml:space="preserve">Noviembre 2009: </w:t>
      </w:r>
      <w:r w:rsidRPr="00FF12A6">
        <w:t>Adopción del Reglamento de Gobierno Corporativo de la Bolsa Nacional de Valores</w:t>
      </w:r>
    </w:p>
    <w:p w14:paraId="20271B9E" w14:textId="77777777" w:rsidR="00A65F5F" w:rsidRDefault="00A65F5F" w:rsidP="00A65F5F">
      <w:pPr>
        <w:pStyle w:val="Prrafodelista"/>
      </w:pPr>
    </w:p>
    <w:p w14:paraId="175B3A5E" w14:textId="77777777" w:rsidR="00A65F5F" w:rsidRDefault="00A65F5F" w:rsidP="00A65F5F">
      <w:pPr>
        <w:pStyle w:val="Prrafodelista"/>
        <w:numPr>
          <w:ilvl w:val="0"/>
          <w:numId w:val="6"/>
        </w:numPr>
        <w:ind w:right="-25"/>
      </w:pPr>
      <w:r w:rsidRPr="006A7B1D">
        <w:rPr>
          <w:b/>
        </w:rPr>
        <w:t xml:space="preserve">Diciembre 2009: </w:t>
      </w:r>
      <w:r w:rsidRPr="006A7B1D">
        <w:t>Inicio</w:t>
      </w:r>
      <w:r>
        <w:t xml:space="preserve"> de operaciones de la Planta Eólica Guanacaste, con una potencia esperada de 49.5 megavatios. </w:t>
      </w:r>
    </w:p>
    <w:p w14:paraId="21DAE3F2" w14:textId="77777777" w:rsidR="00A65F5F" w:rsidRDefault="00A65F5F" w:rsidP="00A65F5F">
      <w:pPr>
        <w:pStyle w:val="Prrafodelista"/>
      </w:pPr>
    </w:p>
    <w:p w14:paraId="65676C71" w14:textId="77777777" w:rsidR="00A65F5F" w:rsidRDefault="00A65F5F" w:rsidP="00A65F5F">
      <w:pPr>
        <w:pStyle w:val="Prrafodelista"/>
        <w:numPr>
          <w:ilvl w:val="0"/>
          <w:numId w:val="6"/>
        </w:numPr>
        <w:ind w:right="-25"/>
      </w:pPr>
      <w:r w:rsidRPr="00235455">
        <w:rPr>
          <w:b/>
        </w:rPr>
        <w:t>Diciembre 2009:</w:t>
      </w:r>
      <w:r>
        <w:t xml:space="preserve"> Se inaugura la red de servicios avanzados 3G, poniendo a disposición casi un millón de líneas móviles de banda ancha. Con esta red de tercera generación se lanzó al mercado la nueva marca de servicios móviles Kölbi</w:t>
      </w:r>
    </w:p>
    <w:p w14:paraId="4BB8075D" w14:textId="77777777" w:rsidR="00A65F5F" w:rsidRDefault="00A65F5F" w:rsidP="00A65F5F">
      <w:pPr>
        <w:pStyle w:val="Prrafodelista"/>
      </w:pPr>
    </w:p>
    <w:p w14:paraId="6DFF4C3B" w14:textId="77777777" w:rsidR="00A65F5F" w:rsidRDefault="00A65F5F" w:rsidP="00A65F5F">
      <w:pPr>
        <w:pStyle w:val="Prrafodelista"/>
        <w:numPr>
          <w:ilvl w:val="0"/>
          <w:numId w:val="6"/>
        </w:numPr>
        <w:ind w:right="-25"/>
      </w:pPr>
      <w:r w:rsidRPr="00363B62">
        <w:rPr>
          <w:b/>
        </w:rPr>
        <w:t>Abril 2010:</w:t>
      </w:r>
      <w:r>
        <w:t xml:space="preserve"> Se comenzaron a comercializar líneas de prepago. Estas líneas operan en la red 3G y GSM</w:t>
      </w:r>
    </w:p>
    <w:p w14:paraId="761C5E47" w14:textId="77777777" w:rsidR="00A65F5F" w:rsidRDefault="00A65F5F" w:rsidP="00A65F5F">
      <w:pPr>
        <w:pStyle w:val="Prrafodelista"/>
      </w:pPr>
    </w:p>
    <w:p w14:paraId="3959CAE5" w14:textId="77777777" w:rsidR="00A65F5F" w:rsidRDefault="00A65F5F" w:rsidP="00A65F5F">
      <w:pPr>
        <w:pStyle w:val="Prrafodelista"/>
        <w:numPr>
          <w:ilvl w:val="0"/>
          <w:numId w:val="6"/>
        </w:numPr>
        <w:ind w:right="-25"/>
      </w:pPr>
      <w:r w:rsidRPr="009E5286">
        <w:rPr>
          <w:b/>
        </w:rPr>
        <w:t>Mayo 2010:</w:t>
      </w:r>
      <w:r w:rsidRPr="009E5286">
        <w:t xml:space="preserve"> En sesión extraordinaria Nº 5909 del 10 de mayo del 2010, el Consejo Directivo del ICE le otorgó Poder Generalísimo sin Límite de Suma al Sr. Eduardo Doryan, el cual funge la posición de Presidente Ejecutivo del ICE.</w:t>
      </w:r>
    </w:p>
    <w:p w14:paraId="44C98BD5" w14:textId="77777777" w:rsidR="00A65F5F" w:rsidRDefault="00A65F5F" w:rsidP="00A65F5F">
      <w:pPr>
        <w:pStyle w:val="Prrafodelista"/>
      </w:pPr>
    </w:p>
    <w:p w14:paraId="03063FA7" w14:textId="77777777" w:rsidR="00A65F5F" w:rsidRPr="00804EC6" w:rsidRDefault="00A65F5F" w:rsidP="00A65F5F">
      <w:pPr>
        <w:pStyle w:val="Prrafodelista"/>
        <w:numPr>
          <w:ilvl w:val="0"/>
          <w:numId w:val="6"/>
        </w:numPr>
        <w:ind w:right="-25"/>
        <w:rPr>
          <w:b/>
        </w:rPr>
      </w:pPr>
      <w:r w:rsidRPr="00F25F6F">
        <w:rPr>
          <w:b/>
        </w:rPr>
        <w:t>Octubre de 2010</w:t>
      </w:r>
      <w:r>
        <w:rPr>
          <w:b/>
        </w:rPr>
        <w:t xml:space="preserve">: </w:t>
      </w:r>
      <w:r w:rsidRPr="00F25F6F">
        <w:t>SUGEVAL</w:t>
      </w:r>
      <w:r>
        <w:t xml:space="preserve"> autoriza la oferta pública e inscripción del Programa “E”  de Emisiones de Bonos Estandarizados hasta por $200 millones (doscientos millones), el cual fue autorizado por el Consejo Directivo en el artículo 2 de la Sesión 5921 celebrada el 07 de setiembre de 2010.</w:t>
      </w:r>
    </w:p>
    <w:p w14:paraId="21C491E8" w14:textId="77777777" w:rsidR="00A65F5F" w:rsidRDefault="00A65F5F" w:rsidP="00A65F5F">
      <w:pPr>
        <w:pStyle w:val="Prrafodelista"/>
      </w:pPr>
    </w:p>
    <w:p w14:paraId="0D1E3985" w14:textId="77777777" w:rsidR="00A65F5F" w:rsidRPr="00804EC6" w:rsidRDefault="00A65F5F" w:rsidP="00A65F5F">
      <w:pPr>
        <w:pStyle w:val="Prrafodelista"/>
        <w:numPr>
          <w:ilvl w:val="0"/>
          <w:numId w:val="6"/>
        </w:numPr>
        <w:ind w:right="-25"/>
        <w:rPr>
          <w:b/>
        </w:rPr>
      </w:pPr>
      <w:r w:rsidRPr="00804EC6">
        <w:rPr>
          <w:b/>
        </w:rPr>
        <w:t>Julio de 2011:</w:t>
      </w:r>
      <w:r>
        <w:t xml:space="preserve"> Se nombra al señor Teófilo de la Torre como Presidente Ejecutivo del ICE en sustitución del señor Eduardo Doryan.</w:t>
      </w:r>
    </w:p>
    <w:p w14:paraId="5B914B54" w14:textId="77777777" w:rsidR="00A65F5F" w:rsidRPr="00804EC6" w:rsidRDefault="00A65F5F" w:rsidP="00A65F5F">
      <w:pPr>
        <w:ind w:right="-25"/>
        <w:rPr>
          <w:b/>
        </w:rPr>
      </w:pPr>
      <w:r>
        <w:tab/>
      </w:r>
    </w:p>
    <w:p w14:paraId="7003AF34" w14:textId="77777777" w:rsidR="00A65F5F" w:rsidRPr="006B519E" w:rsidRDefault="00A65F5F" w:rsidP="00A65F5F">
      <w:pPr>
        <w:pStyle w:val="Prrafodelista"/>
        <w:numPr>
          <w:ilvl w:val="0"/>
          <w:numId w:val="6"/>
        </w:numPr>
        <w:ind w:right="-25"/>
        <w:rPr>
          <w:b/>
        </w:rPr>
      </w:pPr>
      <w:r>
        <w:rPr>
          <w:b/>
        </w:rPr>
        <w:t xml:space="preserve">Setiembre 2011: </w:t>
      </w:r>
      <w:r w:rsidRPr="007A1EBA">
        <w:t>SUGEVAL</w:t>
      </w:r>
      <w:r>
        <w:t xml:space="preserve"> autoriza la oferta pública e inscripción del Programa “F” de Emisiones de Bonos Estandarizados hasta por $400 millones (cuatrocientos millones) o su equivalente en colones, el cual fue autorizado mediante resolución SGV-R-259 del 23 de setiembre del 2011.</w:t>
      </w:r>
    </w:p>
    <w:p w14:paraId="586547FD" w14:textId="77777777" w:rsidR="00A65F5F" w:rsidRPr="006B519E" w:rsidRDefault="00A65F5F" w:rsidP="00A65F5F">
      <w:pPr>
        <w:pStyle w:val="Prrafodelista"/>
        <w:ind w:left="180" w:right="-25"/>
        <w:rPr>
          <w:b/>
        </w:rPr>
      </w:pPr>
    </w:p>
    <w:p w14:paraId="4087968B" w14:textId="77777777" w:rsidR="00A65F5F" w:rsidRDefault="00A65F5F" w:rsidP="00A65F5F">
      <w:pPr>
        <w:pStyle w:val="Prrafodelista"/>
        <w:numPr>
          <w:ilvl w:val="0"/>
          <w:numId w:val="6"/>
        </w:numPr>
        <w:ind w:right="-25"/>
      </w:pPr>
      <w:r>
        <w:rPr>
          <w:b/>
        </w:rPr>
        <w:t xml:space="preserve">Octubre 2011: </w:t>
      </w:r>
      <w:r w:rsidRPr="006B519E">
        <w:t>Se inaugura el Proyecto Geotérmico Las Pailas</w:t>
      </w:r>
      <w:r>
        <w:t>.</w:t>
      </w:r>
    </w:p>
    <w:p w14:paraId="2CA71FF9" w14:textId="77777777" w:rsidR="00A65F5F" w:rsidRDefault="00A65F5F" w:rsidP="00A65F5F">
      <w:pPr>
        <w:pStyle w:val="Prrafodelista"/>
      </w:pPr>
    </w:p>
    <w:p w14:paraId="22826641" w14:textId="77777777" w:rsidR="00A65F5F" w:rsidRPr="00A535D3" w:rsidRDefault="00A65F5F" w:rsidP="00A65F5F">
      <w:pPr>
        <w:pStyle w:val="Prrafodelista"/>
        <w:numPr>
          <w:ilvl w:val="0"/>
          <w:numId w:val="6"/>
        </w:numPr>
        <w:ind w:right="-25"/>
        <w:rPr>
          <w:b/>
        </w:rPr>
      </w:pPr>
      <w:r w:rsidRPr="006B519E">
        <w:rPr>
          <w:b/>
        </w:rPr>
        <w:t>Noviembre 2011:</w:t>
      </w:r>
      <w:r>
        <w:rPr>
          <w:b/>
        </w:rPr>
        <w:t xml:space="preserve"> </w:t>
      </w:r>
      <w:r>
        <w:t>Se realiza la apertura del Bono Internacional regla 144A, regulación S, por la suma de USD250 000 000.00</w:t>
      </w:r>
    </w:p>
    <w:p w14:paraId="7F999A6F" w14:textId="77777777" w:rsidR="00A65F5F" w:rsidRPr="00A535D3" w:rsidRDefault="00A65F5F" w:rsidP="00A65F5F">
      <w:pPr>
        <w:pStyle w:val="Prrafodelista"/>
        <w:rPr>
          <w:b/>
        </w:rPr>
      </w:pPr>
    </w:p>
    <w:p w14:paraId="42C697D3" w14:textId="77777777" w:rsidR="00A65F5F" w:rsidRPr="00A535D3" w:rsidRDefault="00A65F5F" w:rsidP="00A65F5F">
      <w:pPr>
        <w:pStyle w:val="Prrafodelista"/>
        <w:numPr>
          <w:ilvl w:val="0"/>
          <w:numId w:val="6"/>
        </w:numPr>
        <w:ind w:right="-25"/>
        <w:rPr>
          <w:b/>
        </w:rPr>
      </w:pPr>
      <w:r>
        <w:rPr>
          <w:b/>
        </w:rPr>
        <w:t xml:space="preserve">Mayo 2012: </w:t>
      </w:r>
      <w:r>
        <w:t>Se realiza la reapertura del bono internacional regla 144 A, regulación S, por la suma de USD250 000 000.00.</w:t>
      </w:r>
    </w:p>
    <w:p w14:paraId="57BB4B19" w14:textId="77777777" w:rsidR="00A65F5F" w:rsidRDefault="00A65F5F" w:rsidP="00A65F5F">
      <w:pPr>
        <w:pStyle w:val="Prrafodelista"/>
      </w:pPr>
    </w:p>
    <w:p w14:paraId="473CE8EE" w14:textId="77777777" w:rsidR="00A65F5F" w:rsidRPr="00473049" w:rsidRDefault="00A65F5F" w:rsidP="00A65F5F">
      <w:pPr>
        <w:pStyle w:val="Prrafodelista"/>
        <w:numPr>
          <w:ilvl w:val="0"/>
          <w:numId w:val="6"/>
        </w:numPr>
        <w:ind w:right="-25"/>
        <w:rPr>
          <w:b/>
        </w:rPr>
      </w:pPr>
      <w:r w:rsidRPr="00473049">
        <w:rPr>
          <w:b/>
        </w:rPr>
        <w:t>Mayo 2013:</w:t>
      </w:r>
      <w:r w:rsidRPr="00473049">
        <w:t xml:space="preserve"> Se realiza una nueva apertura de un bono internacional por USD500 000 000.00 con vencimiento en el año 2043 bajo la regla 144 A, regulación S.</w:t>
      </w:r>
    </w:p>
    <w:p w14:paraId="06C0CD0E" w14:textId="77777777" w:rsidR="00A65F5F" w:rsidRPr="00473049" w:rsidRDefault="00A65F5F" w:rsidP="00A65F5F">
      <w:pPr>
        <w:pStyle w:val="Prrafodelista"/>
        <w:rPr>
          <w:b/>
        </w:rPr>
      </w:pPr>
    </w:p>
    <w:p w14:paraId="2D87365A" w14:textId="77777777" w:rsidR="00A65F5F" w:rsidRPr="00473049" w:rsidRDefault="00A65F5F" w:rsidP="00A65F5F">
      <w:pPr>
        <w:pStyle w:val="Prrafodelista"/>
        <w:numPr>
          <w:ilvl w:val="0"/>
          <w:numId w:val="6"/>
        </w:numPr>
        <w:ind w:right="-25"/>
        <w:rPr>
          <w:b/>
        </w:rPr>
      </w:pPr>
      <w:r w:rsidRPr="00473049">
        <w:rPr>
          <w:b/>
        </w:rPr>
        <w:t xml:space="preserve">Diciembre 2013: </w:t>
      </w:r>
      <w:r w:rsidRPr="00473049">
        <w:t>Se adquiere la empresa Cablevisión.</w:t>
      </w:r>
    </w:p>
    <w:p w14:paraId="373CF13D" w14:textId="77777777" w:rsidR="00A65F5F" w:rsidRPr="00473049" w:rsidRDefault="00A65F5F" w:rsidP="00A65F5F">
      <w:pPr>
        <w:pStyle w:val="Prrafodelista"/>
        <w:rPr>
          <w:b/>
        </w:rPr>
      </w:pPr>
    </w:p>
    <w:p w14:paraId="37FF8322" w14:textId="77777777" w:rsidR="00A65F5F" w:rsidRPr="00473049" w:rsidRDefault="00A65F5F" w:rsidP="00A65F5F">
      <w:pPr>
        <w:pStyle w:val="Prrafodelista"/>
        <w:numPr>
          <w:ilvl w:val="0"/>
          <w:numId w:val="6"/>
        </w:numPr>
        <w:ind w:right="-25"/>
        <w:rPr>
          <w:b/>
        </w:rPr>
      </w:pPr>
      <w:r w:rsidRPr="00473049">
        <w:rPr>
          <w:b/>
        </w:rPr>
        <w:t xml:space="preserve">2014: </w:t>
      </w:r>
      <w:r w:rsidRPr="00473049">
        <w:t>Para el año 2014 se registró un aumento de la capacidad instalada debido a la reincorporación de dos de las unidades modernizadas de Río Macho, obteniendo un total de 2 139 MW. Esto corresponde a un aumento de 70 MW.</w:t>
      </w:r>
    </w:p>
    <w:p w14:paraId="60567E40" w14:textId="77777777" w:rsidR="00A65F5F" w:rsidRPr="00473049" w:rsidRDefault="00A65F5F" w:rsidP="00A65F5F">
      <w:pPr>
        <w:pStyle w:val="Prrafodelista"/>
        <w:rPr>
          <w:b/>
        </w:rPr>
      </w:pPr>
    </w:p>
    <w:p w14:paraId="7136415A" w14:textId="77777777" w:rsidR="00A65F5F" w:rsidRPr="00473049" w:rsidRDefault="00A65F5F" w:rsidP="00A65F5F">
      <w:pPr>
        <w:pStyle w:val="Prrafodelista"/>
        <w:numPr>
          <w:ilvl w:val="0"/>
          <w:numId w:val="6"/>
        </w:numPr>
        <w:ind w:right="-25"/>
      </w:pPr>
      <w:r w:rsidRPr="00473049">
        <w:rPr>
          <w:b/>
        </w:rPr>
        <w:t xml:space="preserve">2015: </w:t>
      </w:r>
      <w:r w:rsidRPr="00473049">
        <w:t>Se llegó a un porcentaje de 99.4% de generación de energía renovable</w:t>
      </w:r>
    </w:p>
    <w:p w14:paraId="49760D4F" w14:textId="77777777" w:rsidR="00A65F5F" w:rsidRPr="00473049" w:rsidRDefault="00A65F5F" w:rsidP="00A65F5F">
      <w:pPr>
        <w:pStyle w:val="Prrafodelista"/>
      </w:pPr>
    </w:p>
    <w:p w14:paraId="50E97407" w14:textId="77777777" w:rsidR="00A65F5F" w:rsidRDefault="00A65F5F" w:rsidP="00A65F5F">
      <w:pPr>
        <w:pStyle w:val="Prrafodelista"/>
        <w:numPr>
          <w:ilvl w:val="0"/>
          <w:numId w:val="6"/>
        </w:numPr>
        <w:ind w:right="-25"/>
      </w:pPr>
      <w:r w:rsidRPr="00473049">
        <w:rPr>
          <w:b/>
        </w:rPr>
        <w:t>2015:</w:t>
      </w:r>
      <w:r w:rsidRPr="00473049">
        <w:t xml:space="preserve"> A finales de noviembre se inicia el llenado del embalse P.H. Reventazón</w:t>
      </w:r>
    </w:p>
    <w:p w14:paraId="271512B3" w14:textId="77777777" w:rsidR="00A65F5F" w:rsidRDefault="00A65F5F" w:rsidP="00A65F5F">
      <w:pPr>
        <w:pStyle w:val="Prrafodelista"/>
      </w:pPr>
    </w:p>
    <w:p w14:paraId="6E7B34EA" w14:textId="77777777" w:rsidR="00A65F5F" w:rsidRDefault="00A65F5F" w:rsidP="00A65F5F">
      <w:pPr>
        <w:pStyle w:val="Prrafodelista"/>
        <w:numPr>
          <w:ilvl w:val="0"/>
          <w:numId w:val="6"/>
        </w:numPr>
        <w:ind w:right="-25"/>
      </w:pPr>
      <w:r w:rsidRPr="005B4536">
        <w:rPr>
          <w:b/>
        </w:rPr>
        <w:t>2016:</w:t>
      </w:r>
      <w:r>
        <w:t xml:space="preserve"> Entra en operación total la planta hidroeléctrica Reventazón </w:t>
      </w:r>
    </w:p>
    <w:p w14:paraId="07A9F7B0" w14:textId="77777777" w:rsidR="00F30C4F" w:rsidRDefault="00F30C4F" w:rsidP="00F30C4F">
      <w:pPr>
        <w:pStyle w:val="Prrafodelista"/>
      </w:pPr>
    </w:p>
    <w:p w14:paraId="1E8FC606" w14:textId="38F1CFE4" w:rsidR="002B71FD" w:rsidRDefault="002B71FD" w:rsidP="002B71FD">
      <w:pPr>
        <w:pStyle w:val="Prrafodelista"/>
        <w:numPr>
          <w:ilvl w:val="0"/>
          <w:numId w:val="6"/>
        </w:numPr>
        <w:ind w:right="-25"/>
      </w:pPr>
      <w:r w:rsidRPr="002B71FD">
        <w:rPr>
          <w:b/>
        </w:rPr>
        <w:t>2018:</w:t>
      </w:r>
      <w:r w:rsidRPr="002B71FD">
        <w:t xml:space="preserve"> El Instituto Costarricense de Electricidad comunica la suspensión indefinida del Proyecto Hidroeléctrico El Diquís. </w:t>
      </w:r>
    </w:p>
    <w:p w14:paraId="1414F0A1" w14:textId="77777777" w:rsidR="00A91283" w:rsidRDefault="00A91283" w:rsidP="00BA08EC">
      <w:pPr>
        <w:pStyle w:val="Prrafodelista"/>
      </w:pPr>
    </w:p>
    <w:p w14:paraId="2FC12F6D" w14:textId="1CEBEAD6" w:rsidR="00A91283" w:rsidRPr="00BA08EC" w:rsidRDefault="004971D0" w:rsidP="002B71FD">
      <w:pPr>
        <w:pStyle w:val="Prrafodelista"/>
        <w:numPr>
          <w:ilvl w:val="0"/>
          <w:numId w:val="6"/>
        </w:numPr>
        <w:ind w:right="-25"/>
        <w:rPr>
          <w:b/>
        </w:rPr>
      </w:pPr>
      <w:r>
        <w:rPr>
          <w:b/>
        </w:rPr>
        <w:t xml:space="preserve">Octubre </w:t>
      </w:r>
      <w:r w:rsidR="00025B9C" w:rsidRPr="00BA08EC">
        <w:rPr>
          <w:b/>
        </w:rPr>
        <w:t>2021</w:t>
      </w:r>
      <w:r w:rsidR="00025B9C">
        <w:rPr>
          <w:b/>
        </w:rPr>
        <w:t xml:space="preserve">: </w:t>
      </w:r>
      <w:r w:rsidR="00025B9C">
        <w:t xml:space="preserve">El Instituto Costarricense de Electricidad emite </w:t>
      </w:r>
      <w:r w:rsidR="00DE35D4">
        <w:t xml:space="preserve">el </w:t>
      </w:r>
      <w:r w:rsidR="00025B9C">
        <w:t>primer bono ligado a la sostenibilidad en mercado internacional.</w:t>
      </w:r>
    </w:p>
    <w:p w14:paraId="0008A92F" w14:textId="77777777" w:rsidR="004971D0" w:rsidRPr="00BA08EC" w:rsidRDefault="004971D0" w:rsidP="00BA08EC">
      <w:pPr>
        <w:pStyle w:val="Prrafodelista"/>
        <w:rPr>
          <w:b/>
        </w:rPr>
      </w:pPr>
    </w:p>
    <w:p w14:paraId="79149B60" w14:textId="4AAD909B" w:rsidR="004971D0" w:rsidRPr="00BA08EC" w:rsidRDefault="004971D0" w:rsidP="002B71FD">
      <w:pPr>
        <w:pStyle w:val="Prrafodelista"/>
        <w:numPr>
          <w:ilvl w:val="0"/>
          <w:numId w:val="6"/>
        </w:numPr>
        <w:ind w:right="-25"/>
        <w:rPr>
          <w:b/>
        </w:rPr>
      </w:pPr>
      <w:r>
        <w:rPr>
          <w:b/>
        </w:rPr>
        <w:t xml:space="preserve">Noviembre 2021: </w:t>
      </w:r>
      <w:r>
        <w:t>El Instituto Costarricense de Electricidad emite bonos verdes de oferta pública en Costa Rica.</w:t>
      </w:r>
    </w:p>
    <w:p w14:paraId="7AB808AF" w14:textId="77777777" w:rsidR="004971D0" w:rsidRPr="00BA08EC" w:rsidRDefault="004971D0" w:rsidP="00BA08EC">
      <w:pPr>
        <w:pStyle w:val="Prrafodelista"/>
        <w:rPr>
          <w:b/>
        </w:rPr>
      </w:pPr>
    </w:p>
    <w:p w14:paraId="7F91760D" w14:textId="79ABDD16" w:rsidR="004971D0" w:rsidRPr="00BA08EC" w:rsidRDefault="004971D0" w:rsidP="002B71FD">
      <w:pPr>
        <w:pStyle w:val="Prrafodelista"/>
        <w:numPr>
          <w:ilvl w:val="0"/>
          <w:numId w:val="6"/>
        </w:numPr>
        <w:ind w:right="-25"/>
        <w:rPr>
          <w:b/>
        </w:rPr>
      </w:pPr>
      <w:r>
        <w:rPr>
          <w:b/>
        </w:rPr>
        <w:t xml:space="preserve">Noviembre 2021: </w:t>
      </w:r>
      <w:r>
        <w:t>El Instituto Costarricense de Electricidad cancela bono internacional por $483 millones.</w:t>
      </w:r>
    </w:p>
    <w:p w14:paraId="0CAC98AB" w14:textId="77777777" w:rsidR="002B71FD" w:rsidRDefault="002B71FD" w:rsidP="002B71FD">
      <w:pPr>
        <w:pStyle w:val="Prrafodelista"/>
        <w:ind w:left="180" w:right="-25"/>
        <w:rPr>
          <w:b/>
        </w:rPr>
      </w:pPr>
    </w:p>
    <w:p w14:paraId="54698C58" w14:textId="77777777" w:rsidR="00900868" w:rsidRPr="002B71FD" w:rsidRDefault="00900868" w:rsidP="002B71FD">
      <w:pPr>
        <w:pStyle w:val="Prrafodelista"/>
        <w:ind w:left="180" w:right="-25"/>
        <w:rPr>
          <w:b/>
        </w:rPr>
      </w:pPr>
    </w:p>
    <w:p w14:paraId="7039FCF5" w14:textId="77777777" w:rsidR="00A65F5F" w:rsidRPr="00534D1E" w:rsidRDefault="00A65F5F" w:rsidP="00EF0D70">
      <w:pPr>
        <w:pStyle w:val="Ttulo3"/>
        <w:numPr>
          <w:ilvl w:val="2"/>
          <w:numId w:val="52"/>
        </w:numPr>
      </w:pPr>
      <w:bookmarkStart w:id="2038" w:name="_Toc304737220"/>
      <w:bookmarkStart w:id="2039" w:name="_Toc343676055"/>
      <w:bookmarkStart w:id="2040" w:name="_Toc358619418"/>
      <w:bookmarkStart w:id="2041" w:name="_Toc358620683"/>
      <w:bookmarkStart w:id="2042" w:name="_Toc358621890"/>
      <w:bookmarkStart w:id="2043" w:name="_Toc358622867"/>
      <w:bookmarkStart w:id="2044" w:name="_Toc26357156"/>
      <w:bookmarkStart w:id="2045" w:name="_Toc138664945"/>
      <w:r w:rsidRPr="00534D1E">
        <w:t>Actividades principales</w:t>
      </w:r>
      <w:bookmarkEnd w:id="2038"/>
      <w:bookmarkEnd w:id="2039"/>
      <w:bookmarkEnd w:id="2040"/>
      <w:bookmarkEnd w:id="2041"/>
      <w:bookmarkEnd w:id="2042"/>
      <w:bookmarkEnd w:id="2043"/>
      <w:bookmarkEnd w:id="2044"/>
      <w:bookmarkEnd w:id="2045"/>
    </w:p>
    <w:p w14:paraId="7BAA3FE8" w14:textId="77777777" w:rsidR="00A65F5F" w:rsidRPr="00670E95" w:rsidRDefault="00A65F5F" w:rsidP="00A65F5F">
      <w:pPr>
        <w:ind w:left="-540" w:right="-25"/>
      </w:pPr>
    </w:p>
    <w:p w14:paraId="4D629FB1" w14:textId="77777777" w:rsidR="00A65F5F" w:rsidRDefault="00A65F5F" w:rsidP="00A65F5F">
      <w:pPr>
        <w:pStyle w:val="Prrafodelista"/>
        <w:ind w:left="-567" w:right="-25"/>
      </w:pPr>
      <w:r>
        <w:t>La actividad principal o giro del negocio del Instituto Costarricense de Electricidad es la generación, transmisión y distribución de energía eléctrica, servicios de alumbrado público y servicios de telecomunicaciones.</w:t>
      </w:r>
    </w:p>
    <w:p w14:paraId="5B951F3E" w14:textId="77777777" w:rsidR="00A65F5F" w:rsidRDefault="00A65F5F" w:rsidP="00A65F5F">
      <w:pPr>
        <w:pStyle w:val="Prrafodelista"/>
        <w:ind w:left="-567" w:right="-25"/>
      </w:pPr>
    </w:p>
    <w:p w14:paraId="02DC747B" w14:textId="77777777" w:rsidR="00A65F5F" w:rsidRDefault="00A65F5F" w:rsidP="00A65F5F">
      <w:pPr>
        <w:pStyle w:val="Prrafodelista"/>
        <w:ind w:left="-567" w:right="-25"/>
      </w:pPr>
      <w:r>
        <w:t>En la Ley Nº 449, los siguientes artículos definen cuales son las actividades del ICE:</w:t>
      </w:r>
    </w:p>
    <w:p w14:paraId="5E6D35D3" w14:textId="77777777" w:rsidR="00A65F5F" w:rsidRDefault="00A65F5F" w:rsidP="00A65F5F">
      <w:pPr>
        <w:pStyle w:val="Prrafodelista"/>
        <w:ind w:left="-567" w:right="-25"/>
      </w:pPr>
    </w:p>
    <w:p w14:paraId="1EB6C0C4" w14:textId="77777777" w:rsidR="00A65F5F" w:rsidRPr="002A070E" w:rsidRDefault="00A65F5F" w:rsidP="00A65F5F">
      <w:pPr>
        <w:pStyle w:val="Prrafodelista"/>
        <w:ind w:left="-567" w:right="-25"/>
        <w:rPr>
          <w:i/>
        </w:rPr>
      </w:pPr>
      <w:r>
        <w:t>“</w:t>
      </w:r>
      <w:r w:rsidRPr="002A070E">
        <w:rPr>
          <w:b/>
          <w:i/>
        </w:rPr>
        <w:t>Artículo 1º.</w:t>
      </w:r>
      <w:r w:rsidRPr="002A070E">
        <w:rPr>
          <w:i/>
        </w:rPr>
        <w:t xml:space="preserve"> Créase el Instituto Costarricense de Electricidad, en adelante llamado el Instituto, al cual se encomienda el desarrollo racional de las fuentes productoras de energía física que la Nación posee, en especial los recursos hidráulicos.</w:t>
      </w:r>
    </w:p>
    <w:p w14:paraId="640DD2E7" w14:textId="77777777" w:rsidR="00A65F5F" w:rsidRPr="002A070E" w:rsidRDefault="00A65F5F" w:rsidP="00A65F5F">
      <w:pPr>
        <w:pStyle w:val="Prrafodelista"/>
        <w:ind w:left="-567" w:right="-25"/>
        <w:rPr>
          <w:i/>
        </w:rPr>
      </w:pPr>
      <w:r w:rsidRPr="002A070E">
        <w:rPr>
          <w:i/>
        </w:rPr>
        <w:t>La responsabilidad fundamental del Instituto ante los costarricenses será encauzar el aprovechamiento de la energía hidroeléctrica con el fin de fortalecer la economía nacional y promover el mayor bienestar del pueblo de Costa Rica.</w:t>
      </w:r>
    </w:p>
    <w:p w14:paraId="0160CE80" w14:textId="77777777" w:rsidR="00A65F5F" w:rsidRPr="002A070E" w:rsidRDefault="00A65F5F" w:rsidP="00A65F5F">
      <w:pPr>
        <w:pStyle w:val="Prrafodelista"/>
        <w:ind w:left="-567" w:right="-25"/>
        <w:rPr>
          <w:i/>
        </w:rPr>
      </w:pPr>
    </w:p>
    <w:p w14:paraId="79DEAB29" w14:textId="77777777" w:rsidR="00A65F5F" w:rsidRPr="002A070E" w:rsidRDefault="00A65F5F" w:rsidP="00A65F5F">
      <w:pPr>
        <w:pStyle w:val="Prrafodelista"/>
        <w:ind w:left="-567" w:right="-25"/>
        <w:rPr>
          <w:i/>
        </w:rPr>
      </w:pPr>
      <w:r w:rsidRPr="002A070E">
        <w:rPr>
          <w:b/>
          <w:i/>
        </w:rPr>
        <w:t>Artículo 2º.</w:t>
      </w:r>
      <w:r w:rsidRPr="002A070E">
        <w:rPr>
          <w:i/>
        </w:rPr>
        <w:t xml:space="preserve"> Las finalidades del Instituto, hacia la consecución de las cuales se dirigirán todos sus esfuerzos y programas de trabajo, serán las siguientes:</w:t>
      </w:r>
    </w:p>
    <w:p w14:paraId="6E59399B" w14:textId="77777777" w:rsidR="00A65F5F" w:rsidRPr="002A070E" w:rsidRDefault="00A65F5F" w:rsidP="00A65F5F">
      <w:pPr>
        <w:pStyle w:val="Prrafodelista"/>
        <w:ind w:left="-567" w:right="-25"/>
        <w:rPr>
          <w:i/>
        </w:rPr>
      </w:pPr>
    </w:p>
    <w:p w14:paraId="7003E279" w14:textId="77777777" w:rsidR="00A65F5F" w:rsidRPr="002A070E" w:rsidRDefault="00A65F5F" w:rsidP="00A65F5F">
      <w:pPr>
        <w:pStyle w:val="Prrafodelista"/>
        <w:ind w:left="-284" w:right="-25" w:hanging="283"/>
        <w:rPr>
          <w:i/>
        </w:rPr>
      </w:pPr>
      <w:r w:rsidRPr="002A070E">
        <w:rPr>
          <w:i/>
        </w:rPr>
        <w:t>a) Dar solución pronta y eficaz a la escasez de fuerza eléctrica en la Nación, cuando ella exista, y procurar que haya en todo momento energía disponible para satisfacer la demanda normal y para impulsar el desarrollo de nuevas industrias, el uso de la electricidad en las regiones rurales y su mayor consumo doméstico.</w:t>
      </w:r>
      <w:r>
        <w:rPr>
          <w:i/>
        </w:rPr>
        <w:t xml:space="preserve"> </w:t>
      </w:r>
      <w:r w:rsidRPr="002A070E">
        <w:rPr>
          <w:i/>
        </w:rPr>
        <w:t>Las principales gestiones del Instituto se encaminarán a llenar este objetivo, usando para ello todos los medios técnicos, legales y financieros necesarios, y su programa básico de trabajo será el de construcción de nuevas plantas de energía hidroeléctrica y de redes de distribución de la misma. Esta tarea será llevada a cabo dentro de los límites de las inversiones económicamente justificables.</w:t>
      </w:r>
    </w:p>
    <w:p w14:paraId="60141CD6" w14:textId="77777777" w:rsidR="00A65F5F" w:rsidRPr="002A070E" w:rsidRDefault="00A65F5F" w:rsidP="00A65F5F">
      <w:pPr>
        <w:pStyle w:val="Prrafodelista"/>
        <w:ind w:left="-284" w:right="-25" w:hanging="283"/>
        <w:jc w:val="center"/>
        <w:rPr>
          <w:i/>
        </w:rPr>
      </w:pPr>
    </w:p>
    <w:p w14:paraId="7EA338B2" w14:textId="77777777" w:rsidR="00A65F5F" w:rsidRPr="002A070E" w:rsidRDefault="00A65F5F" w:rsidP="00A65F5F">
      <w:pPr>
        <w:pStyle w:val="Prrafodelista"/>
        <w:ind w:left="-284" w:right="-25" w:hanging="283"/>
        <w:rPr>
          <w:i/>
        </w:rPr>
      </w:pPr>
      <w:r w:rsidRPr="002A070E">
        <w:rPr>
          <w:i/>
        </w:rPr>
        <w:t>b) Unificar los esfuerzos separados que actualmente se hacen para satisfacer la necesidad de energía eléctrica, mediante procedimientos técnicos que aseguren el mejor rendimiento de los aprovechamientos de energía y sus sistemas de distribución.</w:t>
      </w:r>
    </w:p>
    <w:p w14:paraId="56C307A3" w14:textId="77777777" w:rsidR="00A65F5F" w:rsidRPr="002A070E" w:rsidRDefault="00A65F5F" w:rsidP="00A65F5F">
      <w:pPr>
        <w:pStyle w:val="Prrafodelista"/>
        <w:ind w:left="-284" w:right="-25" w:hanging="283"/>
        <w:rPr>
          <w:i/>
        </w:rPr>
      </w:pPr>
    </w:p>
    <w:p w14:paraId="1308E58A" w14:textId="77777777" w:rsidR="00A65F5F" w:rsidRPr="002A070E" w:rsidRDefault="00A65F5F" w:rsidP="00A65F5F">
      <w:pPr>
        <w:pStyle w:val="Prrafodelista"/>
        <w:ind w:left="-284" w:right="-25" w:hanging="283"/>
        <w:rPr>
          <w:i/>
        </w:rPr>
      </w:pPr>
      <w:r w:rsidRPr="002A070E">
        <w:rPr>
          <w:i/>
        </w:rPr>
        <w:t>c) Promover el desarrollo industrial y la mayor producción nacional haciendo posible el uso preferencial de la energía eléctrica como fuente de fuerza motriz y de calefacción, y ayudando por medio de asesoramiento y de la investigación tecnológica al mejor conocimiento y explotación de las fuentes de riqueza del país.</w:t>
      </w:r>
    </w:p>
    <w:p w14:paraId="575A9322" w14:textId="77777777" w:rsidR="00A65F5F" w:rsidRPr="002A070E" w:rsidRDefault="00A65F5F" w:rsidP="00A65F5F">
      <w:pPr>
        <w:pStyle w:val="Prrafodelista"/>
        <w:ind w:left="-284" w:right="-25" w:hanging="283"/>
        <w:rPr>
          <w:i/>
        </w:rPr>
      </w:pPr>
    </w:p>
    <w:p w14:paraId="48CB5B70" w14:textId="77777777" w:rsidR="00A65F5F" w:rsidRPr="002A070E" w:rsidRDefault="00A65F5F" w:rsidP="00A65F5F">
      <w:pPr>
        <w:pStyle w:val="Prrafodelista"/>
        <w:ind w:left="-284" w:right="-25" w:hanging="283"/>
        <w:rPr>
          <w:i/>
        </w:rPr>
      </w:pPr>
      <w:r w:rsidRPr="002A070E">
        <w:rPr>
          <w:i/>
        </w:rPr>
        <w:t>d) Procurar la utilización racional de los recursos naturales y terminar con la explotación destructiva y desperdiciada de los mismos. En especial tratará de promover el uso doméstico de la electricidad para calefacción en sustitución de los combustibles obtenidos de los bosques nacionales y de combustibles importados, e impulsará el uso de la madera como materia prima industrial.</w:t>
      </w:r>
    </w:p>
    <w:p w14:paraId="3C7FBA98" w14:textId="77777777" w:rsidR="00A65F5F" w:rsidRPr="002A070E" w:rsidRDefault="00A65F5F" w:rsidP="00A65F5F">
      <w:pPr>
        <w:pStyle w:val="Prrafodelista"/>
        <w:ind w:left="-284" w:right="-25" w:hanging="283"/>
        <w:rPr>
          <w:i/>
        </w:rPr>
      </w:pPr>
    </w:p>
    <w:p w14:paraId="0B262A12" w14:textId="77777777" w:rsidR="00A65F5F" w:rsidRPr="002A070E" w:rsidRDefault="00A65F5F" w:rsidP="00A65F5F">
      <w:pPr>
        <w:pStyle w:val="Prrafodelista"/>
        <w:ind w:left="-284" w:right="-25" w:hanging="283"/>
        <w:rPr>
          <w:i/>
        </w:rPr>
      </w:pPr>
      <w:r w:rsidRPr="002A070E">
        <w:rPr>
          <w:i/>
        </w:rPr>
        <w:t xml:space="preserve">e) Conservar y defender los recursos hidráulicos del país, protegiendo las cuencas, las fuentes y los cauces de los ríos y corrientes de agua, tarea en que deberán ayudar el Servicio Nacional de Electricidad y los Ministerios de Agricultura y Obras Públicas, por medio de un programa de cooperación mutua. </w:t>
      </w:r>
    </w:p>
    <w:p w14:paraId="5228A7A4" w14:textId="77777777" w:rsidR="00A65F5F" w:rsidRPr="002A070E" w:rsidRDefault="00A65F5F" w:rsidP="00A65F5F">
      <w:pPr>
        <w:pStyle w:val="Prrafodelista"/>
        <w:ind w:left="-284" w:right="-25" w:hanging="283"/>
        <w:rPr>
          <w:i/>
        </w:rPr>
      </w:pPr>
    </w:p>
    <w:p w14:paraId="7CB413C5" w14:textId="77777777" w:rsidR="00A65F5F" w:rsidRPr="002A070E" w:rsidRDefault="00A65F5F" w:rsidP="00A65F5F">
      <w:pPr>
        <w:pStyle w:val="Prrafodelista"/>
        <w:ind w:left="-284" w:right="-25" w:hanging="283"/>
        <w:rPr>
          <w:i/>
        </w:rPr>
      </w:pPr>
      <w:r w:rsidRPr="002A070E">
        <w:rPr>
          <w:i/>
        </w:rPr>
        <w:t>f) Ayudar a la habilitación de tierras para la agricultura por medio del riego y la regulación de los ríos, cuando esto sea económicamente factible al desarrollar en forma integral los sitios que se usen para producir energía eléctrica.</w:t>
      </w:r>
    </w:p>
    <w:p w14:paraId="23675A90" w14:textId="77777777" w:rsidR="00A65F5F" w:rsidRPr="002A070E" w:rsidRDefault="00A65F5F" w:rsidP="00A65F5F">
      <w:pPr>
        <w:pStyle w:val="Prrafodelista"/>
        <w:ind w:left="-284" w:right="-25" w:hanging="283"/>
        <w:rPr>
          <w:i/>
        </w:rPr>
      </w:pPr>
    </w:p>
    <w:p w14:paraId="4F0A12AA" w14:textId="77777777" w:rsidR="00A65F5F" w:rsidRDefault="00A65F5F" w:rsidP="00A65F5F">
      <w:pPr>
        <w:pStyle w:val="Prrafodelista"/>
        <w:ind w:left="-284" w:right="-25" w:hanging="283"/>
        <w:rPr>
          <w:i/>
        </w:rPr>
      </w:pPr>
      <w:r w:rsidRPr="002A070E">
        <w:rPr>
          <w:i/>
        </w:rPr>
        <w:t xml:space="preserve">g) Hacer de sus procedimientos técnicos, administrativos y financieros, modelos de eficiencia que no sólo garanticen el buen funcionamiento del Instituto, sino que puedan servir de norma a otras actividades de los costarricenses. </w:t>
      </w:r>
    </w:p>
    <w:p w14:paraId="507AE11E" w14:textId="77777777" w:rsidR="00A65F5F" w:rsidRPr="002A070E" w:rsidRDefault="00A65F5F" w:rsidP="00A65F5F">
      <w:pPr>
        <w:pStyle w:val="Prrafodelista"/>
        <w:ind w:left="-284" w:right="-25" w:hanging="283"/>
        <w:rPr>
          <w:i/>
        </w:rPr>
      </w:pPr>
    </w:p>
    <w:p w14:paraId="151B222E" w14:textId="77777777" w:rsidR="00A65F5F" w:rsidRDefault="00A65F5F" w:rsidP="00A65F5F">
      <w:pPr>
        <w:pStyle w:val="Prrafodelista"/>
        <w:ind w:left="-284" w:right="-25" w:hanging="283"/>
      </w:pPr>
      <w:r w:rsidRPr="002A070E">
        <w:rPr>
          <w:i/>
        </w:rPr>
        <w:t>h) Procurar el establecimiento, mejoramiento, extensión y operación de los servicios de comunicaciones telefónicas, telegráficas, radiotelegráficas y radiotelefónicas, para lo cual tendrá de pleno derecho la concesión correspondiente por tiempo indefinido</w:t>
      </w:r>
      <w:r>
        <w:t>.”</w:t>
      </w:r>
    </w:p>
    <w:p w14:paraId="4CFAEFDD" w14:textId="77777777" w:rsidR="00A65F5F" w:rsidRDefault="00A65F5F" w:rsidP="00A65F5F">
      <w:pPr>
        <w:pStyle w:val="Prrafodelista"/>
        <w:ind w:left="-567" w:right="-25"/>
      </w:pPr>
    </w:p>
    <w:p w14:paraId="51D0D11E" w14:textId="77777777" w:rsidR="00A65F5F" w:rsidRDefault="00A65F5F" w:rsidP="00A65F5F">
      <w:pPr>
        <w:pStyle w:val="Prrafodelista"/>
        <w:ind w:left="-567" w:right="-25"/>
      </w:pPr>
      <w:r>
        <w:t xml:space="preserve">Con la aprobación de </w:t>
      </w:r>
      <w:r w:rsidRPr="00316F50">
        <w:rPr>
          <w:u w:val="single"/>
        </w:rPr>
        <w:t>Ley Nº8660</w:t>
      </w:r>
      <w:r>
        <w:t xml:space="preserve"> “Fortalecimiento y modernización de las entidades públicas del Sector Telecomunicaciones” se busca modernizar y fortalecer la competitividad del ICE.  Los aspectos más relevantes aprobados en esta Ley son los siguientes:</w:t>
      </w:r>
    </w:p>
    <w:p w14:paraId="52F351F3" w14:textId="77777777" w:rsidR="00A65F5F" w:rsidRDefault="00A65F5F" w:rsidP="00A65F5F">
      <w:pPr>
        <w:pStyle w:val="Prrafodelista"/>
        <w:ind w:left="-567" w:right="-25"/>
      </w:pPr>
    </w:p>
    <w:p w14:paraId="5B9BC040" w14:textId="77777777" w:rsidR="00A65F5F" w:rsidRDefault="00A65F5F" w:rsidP="00A65F5F">
      <w:pPr>
        <w:pStyle w:val="Prrafodelista"/>
        <w:numPr>
          <w:ilvl w:val="0"/>
          <w:numId w:val="15"/>
        </w:numPr>
        <w:ind w:right="-25"/>
      </w:pPr>
      <w:r>
        <w:t>Definir al MINAET como Ministerio rector del sector telecomunicaciones</w:t>
      </w:r>
    </w:p>
    <w:p w14:paraId="012B4373" w14:textId="77777777" w:rsidR="00A65F5F" w:rsidRDefault="00A65F5F" w:rsidP="00A65F5F">
      <w:pPr>
        <w:pStyle w:val="Prrafodelista"/>
        <w:numPr>
          <w:ilvl w:val="0"/>
          <w:numId w:val="15"/>
        </w:numPr>
        <w:ind w:right="-25"/>
      </w:pPr>
      <w:r w:rsidRPr="0048364B">
        <w:t>Crear la Superintendencia de Telecomunicaciones (SUTEL) para regular al sector</w:t>
      </w:r>
      <w:r>
        <w:t>.</w:t>
      </w:r>
    </w:p>
    <w:p w14:paraId="73C75157" w14:textId="77777777" w:rsidR="00A65F5F" w:rsidRPr="0048364B" w:rsidRDefault="00A65F5F" w:rsidP="00A65F5F">
      <w:pPr>
        <w:pStyle w:val="Prrafodelista"/>
        <w:numPr>
          <w:ilvl w:val="0"/>
          <w:numId w:val="15"/>
        </w:numPr>
        <w:ind w:right="-25"/>
        <w:rPr>
          <w:lang w:val="es-ES"/>
        </w:rPr>
      </w:pPr>
      <w:r w:rsidRPr="0048364B">
        <w:rPr>
          <w:lang w:val="es-ES"/>
        </w:rPr>
        <w:t>Se otorga competencia al ICE para que pueda instalar y operar redes dentro y fuera del territorio nacional.</w:t>
      </w:r>
    </w:p>
    <w:p w14:paraId="40886A25" w14:textId="77777777" w:rsidR="00A65F5F" w:rsidRPr="0048364B" w:rsidRDefault="00A65F5F" w:rsidP="00A65F5F">
      <w:pPr>
        <w:pStyle w:val="Prrafodelista"/>
        <w:numPr>
          <w:ilvl w:val="0"/>
          <w:numId w:val="15"/>
        </w:numPr>
        <w:ind w:right="-25"/>
        <w:rPr>
          <w:lang w:val="es-ES"/>
        </w:rPr>
      </w:pPr>
      <w:r>
        <w:rPr>
          <w:lang w:val="es-ES"/>
        </w:rPr>
        <w:t>Se permite al ICE adquirir o</w:t>
      </w:r>
      <w:r w:rsidRPr="0048364B">
        <w:rPr>
          <w:lang w:val="es-ES"/>
        </w:rPr>
        <w:t xml:space="preserve"> fusionar empresas, así como firmar acuerdos comerciales, para promover el crecimiento y la competitividad.</w:t>
      </w:r>
    </w:p>
    <w:p w14:paraId="4C5CF644" w14:textId="77777777" w:rsidR="00A65F5F" w:rsidRPr="0048364B" w:rsidRDefault="00A65F5F" w:rsidP="00A65F5F">
      <w:pPr>
        <w:pStyle w:val="Prrafodelista"/>
        <w:numPr>
          <w:ilvl w:val="0"/>
          <w:numId w:val="15"/>
        </w:numPr>
        <w:ind w:right="-25"/>
        <w:rPr>
          <w:lang w:val="es-ES"/>
        </w:rPr>
      </w:pPr>
      <w:r w:rsidRPr="0048364B">
        <w:rPr>
          <w:lang w:val="es-ES"/>
        </w:rPr>
        <w:t>La ley permite al ICE tener flexibilidad para financiar sus operaciones</w:t>
      </w:r>
      <w:r>
        <w:rPr>
          <w:lang w:val="es-ES"/>
        </w:rPr>
        <w:t>:</w:t>
      </w:r>
    </w:p>
    <w:p w14:paraId="25606CF7" w14:textId="77777777" w:rsidR="00A65F5F" w:rsidRPr="0048364B" w:rsidRDefault="00A65F5F" w:rsidP="00A65F5F">
      <w:pPr>
        <w:pStyle w:val="Prrafodelista"/>
        <w:numPr>
          <w:ilvl w:val="1"/>
          <w:numId w:val="15"/>
        </w:numPr>
        <w:ind w:right="-25"/>
        <w:rPr>
          <w:lang w:val="es-ES"/>
        </w:rPr>
      </w:pPr>
      <w:r w:rsidRPr="0048364B">
        <w:rPr>
          <w:lang w:val="es-ES"/>
        </w:rPr>
        <w:t>Consejo Directivo aprueba si el endeudamiento es menor al 45% de sus activos.</w:t>
      </w:r>
    </w:p>
    <w:p w14:paraId="7F410689" w14:textId="77777777" w:rsidR="00A65F5F" w:rsidRPr="0048364B" w:rsidRDefault="00A65F5F" w:rsidP="00A65F5F">
      <w:pPr>
        <w:pStyle w:val="Prrafodelista"/>
        <w:numPr>
          <w:ilvl w:val="1"/>
          <w:numId w:val="15"/>
        </w:numPr>
        <w:ind w:right="-25"/>
        <w:rPr>
          <w:lang w:val="es-ES"/>
        </w:rPr>
      </w:pPr>
      <w:r w:rsidRPr="0048364B">
        <w:rPr>
          <w:lang w:val="es-ES"/>
        </w:rPr>
        <w:t>Si es mayor</w:t>
      </w:r>
      <w:r>
        <w:rPr>
          <w:lang w:val="es-ES"/>
        </w:rPr>
        <w:t xml:space="preserve"> </w:t>
      </w:r>
      <w:r w:rsidRPr="0048364B">
        <w:rPr>
          <w:lang w:val="es-ES"/>
        </w:rPr>
        <w:t>a 45%, el poder ejecutivo es el que autoriza nuevos financiamientos.</w:t>
      </w:r>
    </w:p>
    <w:p w14:paraId="7CA4A88E" w14:textId="77777777" w:rsidR="00A65F5F" w:rsidRPr="0053032F" w:rsidRDefault="00A65F5F" w:rsidP="00A65F5F">
      <w:pPr>
        <w:pStyle w:val="Prrafodelista"/>
        <w:numPr>
          <w:ilvl w:val="0"/>
          <w:numId w:val="15"/>
        </w:numPr>
        <w:ind w:right="-25"/>
        <w:rPr>
          <w:lang w:val="es-ES"/>
        </w:rPr>
      </w:pPr>
      <w:r>
        <w:rPr>
          <w:lang w:val="es-ES"/>
        </w:rPr>
        <w:t>Se establecen m</w:t>
      </w:r>
      <w:r w:rsidRPr="0048364B">
        <w:rPr>
          <w:lang w:val="es-ES"/>
        </w:rPr>
        <w:t xml:space="preserve">odificaciones en la Contratación Administrativa </w:t>
      </w:r>
      <w:r>
        <w:rPr>
          <w:lang w:val="es-ES"/>
        </w:rPr>
        <w:t>para hacerla más ágil y b</w:t>
      </w:r>
      <w:r w:rsidRPr="0053032F">
        <w:rPr>
          <w:lang w:val="es-ES"/>
        </w:rPr>
        <w:t>usca</w:t>
      </w:r>
      <w:r>
        <w:rPr>
          <w:lang w:val="es-ES"/>
        </w:rPr>
        <w:t>r</w:t>
      </w:r>
      <w:r w:rsidRPr="0053032F">
        <w:rPr>
          <w:lang w:val="es-ES"/>
        </w:rPr>
        <w:t xml:space="preserve"> mayor eficiencia en el proceso de compra de bienes y servicios locales e internacionales. </w:t>
      </w:r>
    </w:p>
    <w:p w14:paraId="53E35A47" w14:textId="77777777" w:rsidR="00A65F5F" w:rsidRDefault="00A65F5F" w:rsidP="00A65F5F">
      <w:pPr>
        <w:pStyle w:val="Prrafodelista"/>
        <w:ind w:left="208" w:right="-25"/>
        <w:rPr>
          <w:lang w:val="es-ES"/>
        </w:rPr>
      </w:pPr>
    </w:p>
    <w:p w14:paraId="540B3806" w14:textId="77777777" w:rsidR="00A65F5F" w:rsidRDefault="00A65F5F" w:rsidP="00A65F5F">
      <w:pPr>
        <w:pStyle w:val="Prrafodelista"/>
        <w:ind w:left="-567" w:right="-25"/>
        <w:rPr>
          <w:lang w:val="es-ES"/>
        </w:rPr>
      </w:pPr>
      <w:r>
        <w:rPr>
          <w:lang w:val="es-ES"/>
        </w:rPr>
        <w:t xml:space="preserve">La </w:t>
      </w:r>
      <w:r w:rsidRPr="006F4410">
        <w:rPr>
          <w:lang w:val="es-ES"/>
        </w:rPr>
        <w:t xml:space="preserve">ley </w:t>
      </w:r>
      <w:r w:rsidRPr="00316F50">
        <w:rPr>
          <w:u w:val="single"/>
          <w:lang w:val="es-ES"/>
        </w:rPr>
        <w:t>Nº8642</w:t>
      </w:r>
      <w:r>
        <w:rPr>
          <w:lang w:val="es-ES"/>
        </w:rPr>
        <w:t xml:space="preserve"> “Ley General de Telecomunicaciones” busca la regulación del sector de telecomunicaciones, que comprende el uso y la explotación de las redes y la prestación de los servicios de telecomunicaciones.  Los aspectos más relevantes de la ley son los siguientes:</w:t>
      </w:r>
    </w:p>
    <w:p w14:paraId="4D711D0A" w14:textId="77777777" w:rsidR="00A65F5F" w:rsidRDefault="00A65F5F" w:rsidP="00A65F5F">
      <w:pPr>
        <w:pStyle w:val="Prrafodelista"/>
        <w:ind w:left="-567" w:right="-25"/>
        <w:rPr>
          <w:lang w:val="es-ES"/>
        </w:rPr>
      </w:pPr>
    </w:p>
    <w:p w14:paraId="0773E0D4" w14:textId="77777777" w:rsidR="00A65F5F" w:rsidRPr="0053032F" w:rsidRDefault="00A65F5F" w:rsidP="00A65F5F">
      <w:pPr>
        <w:pStyle w:val="Prrafodelista"/>
        <w:numPr>
          <w:ilvl w:val="0"/>
          <w:numId w:val="15"/>
        </w:numPr>
        <w:ind w:right="-25"/>
      </w:pPr>
      <w:r w:rsidRPr="0053032F">
        <w:t>Están sometidas a la presente Ley y a la jurisdicción costarricense, las personas, físicas o jurídicas, públicas o privadas, nacionales o extranjeras, que operen redes o presten servicios de telecomunicaciones que se originen, terminen o transiten por el territorio nacional.</w:t>
      </w:r>
    </w:p>
    <w:p w14:paraId="0384D07A" w14:textId="77777777" w:rsidR="00A65F5F" w:rsidRPr="0053032F" w:rsidRDefault="00A65F5F" w:rsidP="00A65F5F">
      <w:pPr>
        <w:pStyle w:val="Prrafodelista"/>
        <w:numPr>
          <w:ilvl w:val="0"/>
          <w:numId w:val="15"/>
        </w:numPr>
        <w:ind w:right="-25"/>
      </w:pPr>
      <w:r w:rsidRPr="0053032F">
        <w:t>El ICE se mantiene como una empresa autónoma del Estado.</w:t>
      </w:r>
    </w:p>
    <w:p w14:paraId="193E9949" w14:textId="77777777" w:rsidR="00A65F5F" w:rsidRPr="0053032F" w:rsidRDefault="00A65F5F" w:rsidP="00A65F5F">
      <w:pPr>
        <w:pStyle w:val="Prrafodelista"/>
        <w:numPr>
          <w:ilvl w:val="0"/>
          <w:numId w:val="15"/>
        </w:numPr>
        <w:ind w:right="-25"/>
      </w:pPr>
      <w:r w:rsidRPr="0053032F">
        <w:t>Se establece un Plan Nacional para distribución de frecuencias del espectro radioeléctrico (bien de dominio público), las cuales requieren de autorización de SUTEL.</w:t>
      </w:r>
    </w:p>
    <w:p w14:paraId="118B4B81" w14:textId="77777777" w:rsidR="00A65F5F" w:rsidRPr="0053032F" w:rsidRDefault="00A65F5F" w:rsidP="00A65F5F">
      <w:pPr>
        <w:pStyle w:val="Prrafodelista"/>
        <w:numPr>
          <w:ilvl w:val="0"/>
          <w:numId w:val="15"/>
        </w:numPr>
        <w:ind w:right="-25"/>
      </w:pPr>
      <w:r w:rsidRPr="0053032F">
        <w:t>La ley incluye principios básicos para garantizar un mercado justo y competitivo.</w:t>
      </w:r>
    </w:p>
    <w:p w14:paraId="27DC605E" w14:textId="77777777" w:rsidR="00A65F5F" w:rsidRPr="0053032F" w:rsidRDefault="00A65F5F" w:rsidP="00A65F5F">
      <w:pPr>
        <w:pStyle w:val="Prrafodelista"/>
        <w:numPr>
          <w:ilvl w:val="0"/>
          <w:numId w:val="15"/>
        </w:numPr>
        <w:ind w:right="-25"/>
      </w:pPr>
      <w:r w:rsidRPr="0053032F">
        <w:t>Se crea un fondo de Telecomunicaciones que financiará proyectos que no sean económicamente rentables pero con importancia social. Todas las empresas que participen en el mercado de Telecomunicaciones deberán aportar a dicho fondo.</w:t>
      </w:r>
    </w:p>
    <w:p w14:paraId="4C69BB15" w14:textId="77777777" w:rsidR="00A65F5F" w:rsidRPr="0053032F" w:rsidRDefault="00A65F5F" w:rsidP="00A65F5F">
      <w:pPr>
        <w:pStyle w:val="Prrafodelista"/>
        <w:ind w:left="-207" w:right="-25"/>
      </w:pPr>
    </w:p>
    <w:p w14:paraId="0F3AF2AB" w14:textId="77777777" w:rsidR="00A65F5F" w:rsidRPr="0053032F" w:rsidRDefault="00A65F5F" w:rsidP="00A65F5F">
      <w:pPr>
        <w:pStyle w:val="Ttulo4"/>
        <w:ind w:left="-567"/>
        <w:rPr>
          <w:sz w:val="32"/>
        </w:rPr>
      </w:pPr>
      <w:r w:rsidRPr="00966747">
        <w:rPr>
          <w:sz w:val="32"/>
        </w:rPr>
        <w:t>Servicios prestados a lo largo del tiempo</w:t>
      </w:r>
    </w:p>
    <w:p w14:paraId="637C3C06" w14:textId="77777777" w:rsidR="00A65F5F" w:rsidRDefault="00A65F5F" w:rsidP="00A65F5F">
      <w:pPr>
        <w:pStyle w:val="Prrafodelista"/>
        <w:ind w:left="-567" w:right="-25"/>
      </w:pPr>
    </w:p>
    <w:p w14:paraId="30178AF9" w14:textId="77777777" w:rsidR="00A65F5F" w:rsidRDefault="00A65F5F" w:rsidP="00A65F5F">
      <w:pPr>
        <w:pStyle w:val="Prrafodelista"/>
        <w:ind w:left="-567" w:right="-25"/>
      </w:pPr>
      <w:r w:rsidRPr="00B72800">
        <w:rPr>
          <w:b/>
          <w:u w:val="single"/>
        </w:rPr>
        <w:t>Suministro de energía eléctrica para clientes nuevos:</w:t>
      </w:r>
      <w:r>
        <w:t xml:space="preserve"> Este servicio se ofrece a residencias, comercios, e industrias, que requieran un servicio eléctrico nuevo cuyo consumo sea inferior a los 3000 Kwh. por mes.</w:t>
      </w:r>
    </w:p>
    <w:p w14:paraId="123B2F4D" w14:textId="77777777" w:rsidR="00A65F5F" w:rsidRDefault="00A65F5F" w:rsidP="00A65F5F">
      <w:pPr>
        <w:pStyle w:val="Prrafodelista"/>
        <w:ind w:left="-567" w:right="-25"/>
      </w:pPr>
    </w:p>
    <w:p w14:paraId="03926356" w14:textId="77777777" w:rsidR="00A65F5F" w:rsidRDefault="00A65F5F" w:rsidP="00A65F5F">
      <w:pPr>
        <w:pStyle w:val="Prrafodelista"/>
        <w:ind w:left="-567" w:right="-25"/>
      </w:pPr>
      <w:r w:rsidRPr="00B72800">
        <w:rPr>
          <w:b/>
          <w:u w:val="single"/>
        </w:rPr>
        <w:t>Suministro eléctrico nuevo para clientes de máxima demanda:</w:t>
      </w:r>
      <w:r>
        <w:t xml:space="preserve"> Este servicio se ofrece a aquellos clientes con consumos superiores a los 3000 Kwh. por mes.</w:t>
      </w:r>
    </w:p>
    <w:p w14:paraId="21F97CDC" w14:textId="77777777" w:rsidR="00A65F5F" w:rsidRDefault="00A65F5F" w:rsidP="00A65F5F">
      <w:pPr>
        <w:pStyle w:val="Prrafodelista"/>
        <w:ind w:left="-567" w:right="-25"/>
      </w:pPr>
    </w:p>
    <w:p w14:paraId="7B37DA9C" w14:textId="77777777" w:rsidR="00A65F5F" w:rsidRDefault="00A65F5F" w:rsidP="00A65F5F">
      <w:pPr>
        <w:pStyle w:val="Prrafodelista"/>
        <w:ind w:left="-567" w:right="-25"/>
      </w:pPr>
      <w:r w:rsidRPr="00B72800">
        <w:rPr>
          <w:b/>
          <w:u w:val="single"/>
        </w:rPr>
        <w:t>Traslado de medidor:</w:t>
      </w:r>
      <w:r>
        <w:t xml:space="preserve"> Consiste en el servicio que se ofrece a los clientes cuando desean que se traslade el medidor a otro sitio. </w:t>
      </w:r>
    </w:p>
    <w:p w14:paraId="28CA98F2" w14:textId="77777777" w:rsidR="00A65F5F" w:rsidRDefault="00A65F5F" w:rsidP="00A65F5F">
      <w:pPr>
        <w:pStyle w:val="Prrafodelista"/>
        <w:ind w:left="-567" w:right="-25"/>
      </w:pPr>
    </w:p>
    <w:p w14:paraId="7F5A4291" w14:textId="77777777" w:rsidR="00A65F5F" w:rsidRDefault="00A65F5F" w:rsidP="00A65F5F">
      <w:pPr>
        <w:pStyle w:val="Prrafodelista"/>
        <w:ind w:left="-567" w:right="-25"/>
      </w:pPr>
      <w:r w:rsidRPr="00B72800">
        <w:rPr>
          <w:b/>
          <w:u w:val="single"/>
        </w:rPr>
        <w:t>Cambio de medidor:</w:t>
      </w:r>
      <w:r>
        <w:t xml:space="preserve"> Se aplica cuando el cliente solicita un medidor de mayor capacidad debido a un aumento en su carga conectada, o cuando desea una revisión al medidor que tiene instalado. </w:t>
      </w:r>
    </w:p>
    <w:p w14:paraId="44B8BFE5" w14:textId="77777777" w:rsidR="00A65F5F" w:rsidRDefault="00A65F5F" w:rsidP="00A65F5F">
      <w:pPr>
        <w:pStyle w:val="Prrafodelista"/>
        <w:ind w:left="-567" w:right="-25"/>
      </w:pPr>
    </w:p>
    <w:p w14:paraId="7EA67A8C" w14:textId="77777777" w:rsidR="00A65F5F" w:rsidRDefault="00A65F5F" w:rsidP="00A65F5F">
      <w:pPr>
        <w:pStyle w:val="Prrafodelista"/>
        <w:ind w:left="-567" w:right="-25"/>
      </w:pPr>
      <w:r w:rsidRPr="00B72800">
        <w:rPr>
          <w:b/>
          <w:u w:val="single"/>
        </w:rPr>
        <w:t>Traslado interno de medidor:</w:t>
      </w:r>
      <w:r>
        <w:t xml:space="preserve"> Es el servicio que se ofrece ante un cambio de ubicación del medidor a solicitud del cliente dentro de las mismas instalaciones y se presenta generalmente cuando el usuario requiere hacer remodelación del inmueble donde se le suministra la energía eléctrica. </w:t>
      </w:r>
    </w:p>
    <w:p w14:paraId="53B83C34" w14:textId="77777777" w:rsidR="00A65F5F" w:rsidRDefault="00A65F5F" w:rsidP="00A65F5F">
      <w:pPr>
        <w:pStyle w:val="Prrafodelista"/>
        <w:ind w:left="-567" w:right="-25"/>
      </w:pPr>
    </w:p>
    <w:p w14:paraId="5DEA6DBB" w14:textId="77777777" w:rsidR="00A65F5F" w:rsidRDefault="00A65F5F" w:rsidP="00A65F5F">
      <w:pPr>
        <w:pStyle w:val="Prrafodelista"/>
        <w:ind w:left="-567" w:right="-25"/>
      </w:pPr>
      <w:r w:rsidRPr="00B72800">
        <w:rPr>
          <w:b/>
          <w:u w:val="single"/>
        </w:rPr>
        <w:t>Desconexión del servicio:</w:t>
      </w:r>
      <w:r>
        <w:t xml:space="preserve"> Consiste en desconectar a solicitud del cliente, la energía eléctrica que suministra la Institución en determinada localización, en forma permanente y definitiva. </w:t>
      </w:r>
    </w:p>
    <w:p w14:paraId="05808CC8" w14:textId="77777777" w:rsidR="00A65F5F" w:rsidRDefault="00A65F5F" w:rsidP="00A65F5F">
      <w:pPr>
        <w:pStyle w:val="Prrafodelista"/>
        <w:ind w:left="-567" w:right="-25"/>
      </w:pPr>
    </w:p>
    <w:p w14:paraId="2FA59313" w14:textId="77777777" w:rsidR="00A65F5F" w:rsidRDefault="00A65F5F" w:rsidP="00A65F5F">
      <w:pPr>
        <w:pStyle w:val="Prrafodelista"/>
        <w:ind w:left="-567" w:right="-25"/>
      </w:pPr>
      <w:r w:rsidRPr="00A5075A">
        <w:rPr>
          <w:b/>
          <w:u w:val="single"/>
        </w:rPr>
        <w:t>Servicios temporales:</w:t>
      </w:r>
      <w:r>
        <w:t xml:space="preserve"> Es el suministro de energía eléctrica que se proporciona en actividades temporales como: fiestas populares, ferias, edificios en construcción o similares. </w:t>
      </w:r>
    </w:p>
    <w:p w14:paraId="7E07FF23" w14:textId="77777777" w:rsidR="00A65F5F" w:rsidRDefault="00A65F5F" w:rsidP="00A65F5F">
      <w:pPr>
        <w:pStyle w:val="Prrafodelista"/>
        <w:ind w:left="-567" w:right="-25"/>
      </w:pPr>
    </w:p>
    <w:p w14:paraId="13D3ED9C" w14:textId="77777777" w:rsidR="00A65F5F" w:rsidRDefault="00A65F5F" w:rsidP="00A65F5F">
      <w:pPr>
        <w:pStyle w:val="Prrafodelista"/>
        <w:ind w:left="-567" w:right="-25"/>
      </w:pPr>
      <w:r w:rsidRPr="00B72800">
        <w:rPr>
          <w:b/>
          <w:u w:val="single"/>
        </w:rPr>
        <w:t>Historiales de consumo de energía eléctrica</w:t>
      </w:r>
      <w:r>
        <w:t xml:space="preserve">: Servicio que se brinda cuando el cliente requiera y solicite los registros de consumo de un período determinado. </w:t>
      </w:r>
    </w:p>
    <w:p w14:paraId="444F31F1" w14:textId="77777777" w:rsidR="00A65F5F" w:rsidRDefault="00A65F5F" w:rsidP="00A65F5F">
      <w:pPr>
        <w:pStyle w:val="Prrafodelista"/>
        <w:ind w:left="-567" w:right="-25"/>
      </w:pPr>
    </w:p>
    <w:p w14:paraId="2D3BD433" w14:textId="77777777" w:rsidR="00A65F5F" w:rsidRDefault="00A65F5F" w:rsidP="00A65F5F">
      <w:pPr>
        <w:pStyle w:val="Prrafodelista"/>
        <w:ind w:left="-567" w:right="-25"/>
      </w:pPr>
      <w:r w:rsidRPr="00B72800">
        <w:rPr>
          <w:b/>
          <w:u w:val="single"/>
        </w:rPr>
        <w:t>Marcación directa con asistencia de operadora:</w:t>
      </w:r>
      <w:r>
        <w:t xml:space="preserve"> Este servicio permite realizar llamadas telefónicas internacionales, persona a persona o por cobrar con asistencia de una operadora.</w:t>
      </w:r>
    </w:p>
    <w:p w14:paraId="6B4886B6" w14:textId="77777777" w:rsidR="00A65F5F" w:rsidRDefault="00A65F5F" w:rsidP="00A65F5F">
      <w:pPr>
        <w:pStyle w:val="Prrafodelista"/>
        <w:ind w:left="-567" w:right="-25"/>
      </w:pPr>
      <w:r w:rsidRPr="00B72800">
        <w:rPr>
          <w:b/>
          <w:u w:val="single"/>
        </w:rPr>
        <w:t>800 Doméstico:</w:t>
      </w:r>
      <w:r>
        <w:t xml:space="preserve">  Estos son los números que las empresas dentro de los Estados Unidos ponen a disposición de los clientes locales para realizar actividades promocionales dentro de su territorio.  Ahora, estos números pueden ser accesados desde Costa Rica para solicitar los productos o servicios que ofrecen esas empresas.  Las llamadas a estos números son gratuitas solamente dentro de los Estados Unidos.</w:t>
      </w:r>
    </w:p>
    <w:p w14:paraId="5864DA51" w14:textId="77777777" w:rsidR="00A65F5F" w:rsidRDefault="00A65F5F" w:rsidP="00A65F5F">
      <w:pPr>
        <w:ind w:right="-25"/>
      </w:pPr>
    </w:p>
    <w:p w14:paraId="30184C57" w14:textId="77777777" w:rsidR="00A65F5F" w:rsidRDefault="00A65F5F" w:rsidP="00A65F5F">
      <w:pPr>
        <w:pStyle w:val="Prrafodelista"/>
        <w:ind w:left="-567" w:right="-25"/>
      </w:pPr>
      <w:r w:rsidRPr="00B72800">
        <w:rPr>
          <w:b/>
          <w:u w:val="single"/>
        </w:rPr>
        <w:t>Comunicación Internacional Móvil (CIM):</w:t>
      </w:r>
      <w:r>
        <w:t xml:space="preserve"> Con este sistema se puede realizar llamadas o enviar facsímil en forma directa a un barco en alta mar.  Las llamadas se pueden realizar mediante operadora con un cargo mínimo de tres minutos, de persona a persona o teléfono a teléfono.</w:t>
      </w:r>
    </w:p>
    <w:p w14:paraId="2F356333" w14:textId="77777777" w:rsidR="00A65F5F" w:rsidRDefault="00A65F5F" w:rsidP="00A65F5F">
      <w:pPr>
        <w:pStyle w:val="Prrafodelista"/>
        <w:ind w:left="-567" w:right="-25"/>
      </w:pPr>
    </w:p>
    <w:p w14:paraId="2E2B5AD8" w14:textId="77777777" w:rsidR="00A65F5F" w:rsidRDefault="00A65F5F" w:rsidP="00A65F5F">
      <w:pPr>
        <w:pStyle w:val="Prrafodelista"/>
        <w:ind w:left="-567" w:right="-25"/>
      </w:pPr>
      <w:r w:rsidRPr="00B72800">
        <w:rPr>
          <w:b/>
          <w:u w:val="single"/>
        </w:rPr>
        <w:t>Costa Rica Directo:</w:t>
      </w:r>
      <w:r>
        <w:t xml:space="preserve"> Este es un servicio que consiste en realizar llamadas desde otros países hacia Costa Rica, cargándolas al número de teléfono que se está llamando, o cobradas a través de tarjetas telefónicas que el ICE acepte.  Este servicio es brindado por las operadoras del ICE.</w:t>
      </w:r>
    </w:p>
    <w:p w14:paraId="5048D69A" w14:textId="77777777" w:rsidR="00A65F5F" w:rsidRDefault="00A65F5F" w:rsidP="00A65F5F">
      <w:pPr>
        <w:pStyle w:val="Prrafodelista"/>
        <w:ind w:left="-567" w:right="-25"/>
      </w:pPr>
    </w:p>
    <w:p w14:paraId="155DAC63" w14:textId="77777777" w:rsidR="00A65F5F" w:rsidRDefault="00A65F5F" w:rsidP="00A65F5F">
      <w:pPr>
        <w:pStyle w:val="Prrafodelista"/>
        <w:ind w:left="-567" w:right="-25"/>
      </w:pPr>
      <w:r w:rsidRPr="00B72800">
        <w:rPr>
          <w:b/>
          <w:u w:val="single"/>
        </w:rPr>
        <w:t>Gestión e información Consutel 187:</w:t>
      </w:r>
      <w:r>
        <w:t xml:space="preserve"> Es un servicio que brinda a los clientes información relacionada con sus recibos telefónicos pendientes de cobro.</w:t>
      </w:r>
    </w:p>
    <w:p w14:paraId="45AB0EA8" w14:textId="77777777" w:rsidR="00A65F5F" w:rsidRDefault="00A65F5F" w:rsidP="00A65F5F">
      <w:pPr>
        <w:pStyle w:val="Prrafodelista"/>
        <w:ind w:left="-567" w:right="-25"/>
      </w:pPr>
    </w:p>
    <w:p w14:paraId="4E5E21D1" w14:textId="77777777" w:rsidR="00A65F5F" w:rsidRDefault="00A65F5F" w:rsidP="00A65F5F">
      <w:pPr>
        <w:pStyle w:val="Prrafodelista"/>
        <w:ind w:left="-567" w:right="-25"/>
      </w:pPr>
      <w:r w:rsidRPr="00B72800">
        <w:rPr>
          <w:b/>
          <w:u w:val="single"/>
        </w:rPr>
        <w:t>ICE Celular:</w:t>
      </w:r>
      <w:r>
        <w:t xml:space="preserve"> Es el servicio de telefonía móvil que brinda la oportunidad de establecer comunicación oportuna desde las principales ciudades hasta los puntos más importantes y alejados del territorio de Costa Rica.</w:t>
      </w:r>
    </w:p>
    <w:p w14:paraId="0C442027" w14:textId="77777777" w:rsidR="00A65F5F" w:rsidRDefault="00A65F5F" w:rsidP="00A65F5F">
      <w:pPr>
        <w:pStyle w:val="Prrafodelista"/>
        <w:ind w:left="-567" w:right="-25"/>
      </w:pPr>
    </w:p>
    <w:p w14:paraId="2C9227C0" w14:textId="77777777" w:rsidR="00A65F5F" w:rsidRDefault="00A65F5F" w:rsidP="00A65F5F">
      <w:pPr>
        <w:pStyle w:val="Prrafodelista"/>
        <w:ind w:left="-567" w:right="-25"/>
      </w:pPr>
      <w:r>
        <w:rPr>
          <w:b/>
          <w:u w:val="single"/>
        </w:rPr>
        <w:t>Prepago móvil:</w:t>
      </w:r>
      <w:r w:rsidRPr="00E053F0">
        <w:t xml:space="preserve"> Servicios de telefonía móvil</w:t>
      </w:r>
      <w:r>
        <w:t xml:space="preserve"> con el sistema de pago anticipado de dichos servicios</w:t>
      </w:r>
      <w:r w:rsidR="00D10AA4">
        <w:t>.</w:t>
      </w:r>
    </w:p>
    <w:p w14:paraId="7E0BB156" w14:textId="77777777" w:rsidR="00A65F5F" w:rsidRDefault="00A65F5F" w:rsidP="00A65F5F">
      <w:pPr>
        <w:pStyle w:val="Prrafodelista"/>
        <w:ind w:left="-567" w:right="-25"/>
      </w:pPr>
    </w:p>
    <w:p w14:paraId="219F201D" w14:textId="77777777" w:rsidR="00A65F5F" w:rsidRPr="00E053F0" w:rsidRDefault="00A65F5F" w:rsidP="00A65F5F">
      <w:pPr>
        <w:pStyle w:val="Prrafodelista"/>
        <w:ind w:left="-567" w:right="-25"/>
      </w:pPr>
      <w:r w:rsidRPr="00D52BA0">
        <w:rPr>
          <w:b/>
          <w:u w:val="single"/>
        </w:rPr>
        <w:t>Identificador de llamadas:</w:t>
      </w:r>
      <w:r>
        <w:t xml:space="preserve"> Servicios que permite conocer el número del destino de la llamada antes de contestar</w:t>
      </w:r>
      <w:r w:rsidR="00D10AA4">
        <w:t>.</w:t>
      </w:r>
    </w:p>
    <w:p w14:paraId="709FB35A" w14:textId="77777777" w:rsidR="00A65F5F" w:rsidRDefault="00A65F5F" w:rsidP="00A65F5F">
      <w:pPr>
        <w:pStyle w:val="Prrafodelista"/>
        <w:ind w:left="-567" w:right="-25"/>
        <w:rPr>
          <w:b/>
          <w:u w:val="single"/>
        </w:rPr>
      </w:pPr>
    </w:p>
    <w:p w14:paraId="39B07417" w14:textId="77777777" w:rsidR="00A65F5F" w:rsidRDefault="00A65F5F" w:rsidP="00A65F5F">
      <w:pPr>
        <w:pStyle w:val="Prrafodelista"/>
        <w:ind w:left="-567" w:right="-25"/>
        <w:rPr>
          <w:b/>
          <w:u w:val="single"/>
        </w:rPr>
      </w:pPr>
      <w:r>
        <w:rPr>
          <w:b/>
          <w:u w:val="single"/>
        </w:rPr>
        <w:t xml:space="preserve">No identificador de llamadas: </w:t>
      </w:r>
      <w:r w:rsidRPr="00153C67">
        <w:t>Permite que el número de teléfono no se identifique cuando llama</w:t>
      </w:r>
      <w:r w:rsidR="00D10AA4">
        <w:t>.</w:t>
      </w:r>
    </w:p>
    <w:p w14:paraId="41625B84" w14:textId="77777777" w:rsidR="00A65F5F" w:rsidRDefault="00A65F5F" w:rsidP="00A65F5F">
      <w:pPr>
        <w:pStyle w:val="Prrafodelista"/>
        <w:ind w:left="-567" w:right="-25"/>
        <w:rPr>
          <w:b/>
          <w:u w:val="single"/>
        </w:rPr>
      </w:pPr>
    </w:p>
    <w:p w14:paraId="755DA387" w14:textId="77777777" w:rsidR="00A65F5F" w:rsidRPr="00D6796A" w:rsidRDefault="00A65F5F" w:rsidP="00A65F5F">
      <w:pPr>
        <w:pStyle w:val="Prrafodelista"/>
        <w:ind w:left="-567" w:right="-25"/>
      </w:pPr>
      <w:r>
        <w:rPr>
          <w:b/>
          <w:u w:val="single"/>
        </w:rPr>
        <w:t xml:space="preserve">Desviación de llamadas: </w:t>
      </w:r>
      <w:r w:rsidRPr="00D6796A">
        <w:t>Ser</w:t>
      </w:r>
      <w:r>
        <w:t>vicio que permite programar el celular y contestar las llamadas en el número de teléfono que se desee, ya sea móvil o fijo.</w:t>
      </w:r>
    </w:p>
    <w:p w14:paraId="24576450" w14:textId="77777777" w:rsidR="00A65F5F" w:rsidRDefault="00A65F5F" w:rsidP="00A65F5F">
      <w:pPr>
        <w:pStyle w:val="Prrafodelista"/>
        <w:ind w:left="-567" w:right="-25"/>
        <w:rPr>
          <w:b/>
          <w:u w:val="single"/>
        </w:rPr>
      </w:pPr>
    </w:p>
    <w:p w14:paraId="47B004B0" w14:textId="77777777" w:rsidR="00A65F5F" w:rsidRDefault="00A65F5F" w:rsidP="00A65F5F">
      <w:pPr>
        <w:pStyle w:val="Prrafodelista"/>
        <w:ind w:left="-567" w:right="-25"/>
      </w:pPr>
      <w:r w:rsidRPr="00B72800">
        <w:rPr>
          <w:b/>
          <w:u w:val="single"/>
        </w:rPr>
        <w:t>ICEVOZ:</w:t>
      </w:r>
      <w:r>
        <w:t xml:space="preserve"> Es un medio que le permite al abonado telefónico en caso de que no pueda atender su teléfono o que esté ocupándolo, recibir las llamadas que le hagan y grabar los mensajes de las personas que deseen comunicarse con él.</w:t>
      </w:r>
    </w:p>
    <w:p w14:paraId="46B0B38C" w14:textId="77777777" w:rsidR="00A65F5F" w:rsidRDefault="00A65F5F" w:rsidP="00A65F5F">
      <w:pPr>
        <w:pStyle w:val="Prrafodelista"/>
        <w:ind w:left="-567" w:right="-25"/>
      </w:pPr>
    </w:p>
    <w:p w14:paraId="03E4D303" w14:textId="77777777" w:rsidR="00A65F5F" w:rsidRDefault="00A65F5F" w:rsidP="00A65F5F">
      <w:pPr>
        <w:pStyle w:val="Prrafodelista"/>
        <w:ind w:left="-567" w:right="-25"/>
      </w:pPr>
      <w:r w:rsidRPr="0000366F">
        <w:rPr>
          <w:b/>
          <w:u w:val="single"/>
        </w:rPr>
        <w:t>Llamada en espera:</w:t>
      </w:r>
      <w:r>
        <w:t xml:space="preserve"> Servicio que permite contestar una segunda llamada sin necesidad de cancelar la primera</w:t>
      </w:r>
      <w:r w:rsidR="00D10AA4">
        <w:t>.</w:t>
      </w:r>
    </w:p>
    <w:p w14:paraId="7C7FC2B3" w14:textId="77777777" w:rsidR="00A65F5F" w:rsidRDefault="00A65F5F" w:rsidP="00A65F5F">
      <w:pPr>
        <w:pStyle w:val="Prrafodelista"/>
        <w:ind w:left="-567" w:right="-25"/>
      </w:pPr>
    </w:p>
    <w:p w14:paraId="4C5D3819" w14:textId="77777777" w:rsidR="00A65F5F" w:rsidRDefault="00A65F5F" w:rsidP="00A65F5F">
      <w:pPr>
        <w:pStyle w:val="Prrafodelista"/>
        <w:ind w:left="-567" w:right="-25"/>
      </w:pPr>
      <w:r w:rsidRPr="00153C67">
        <w:rPr>
          <w:b/>
          <w:u w:val="single"/>
        </w:rPr>
        <w:t>Conferencia tripartita:</w:t>
      </w:r>
      <w:r>
        <w:t xml:space="preserve"> Hablar con dos personas al mismo tiempo en una misma llamada</w:t>
      </w:r>
      <w:r w:rsidR="00D10AA4">
        <w:t>.</w:t>
      </w:r>
    </w:p>
    <w:p w14:paraId="2F3E06A7" w14:textId="77777777" w:rsidR="00A65F5F" w:rsidRDefault="00A65F5F" w:rsidP="00A65F5F">
      <w:pPr>
        <w:pStyle w:val="Prrafodelista"/>
        <w:ind w:left="-567" w:right="-25"/>
      </w:pPr>
    </w:p>
    <w:p w14:paraId="7991F9E6" w14:textId="77777777" w:rsidR="00A65F5F" w:rsidRDefault="00A65F5F" w:rsidP="00A65F5F">
      <w:pPr>
        <w:pStyle w:val="Prrafodelista"/>
        <w:ind w:left="-567" w:right="-25"/>
      </w:pPr>
      <w:r w:rsidRPr="00B72800">
        <w:rPr>
          <w:b/>
          <w:u w:val="single"/>
        </w:rPr>
        <w:t>Internet:</w:t>
      </w:r>
      <w:r>
        <w:t xml:space="preserve"> Es el servicio de conexión a la red mundial INTERNET, ya sea mediante un dispositivo dedicado o conmutado.</w:t>
      </w:r>
    </w:p>
    <w:p w14:paraId="702CE676" w14:textId="77777777" w:rsidR="00A65F5F" w:rsidRDefault="00A65F5F" w:rsidP="00A65F5F">
      <w:pPr>
        <w:pStyle w:val="Prrafodelista"/>
        <w:ind w:left="-567" w:right="-25"/>
      </w:pPr>
    </w:p>
    <w:p w14:paraId="05922B17" w14:textId="77777777" w:rsidR="00A65F5F" w:rsidRDefault="00A65F5F" w:rsidP="00A65F5F">
      <w:pPr>
        <w:pStyle w:val="Prrafodelista"/>
        <w:ind w:left="-567" w:right="-25"/>
      </w:pPr>
      <w:r w:rsidRPr="00FB21CA">
        <w:rPr>
          <w:b/>
          <w:u w:val="single"/>
        </w:rPr>
        <w:t>Internet celular:</w:t>
      </w:r>
      <w:r>
        <w:t xml:space="preserve"> </w:t>
      </w:r>
      <w:r w:rsidRPr="00FB21CA">
        <w:t xml:space="preserve">Internet desde </w:t>
      </w:r>
      <w:r w:rsidR="00D10AA4">
        <w:t>el</w:t>
      </w:r>
      <w:r w:rsidR="00D10AA4" w:rsidRPr="00FB21CA">
        <w:t xml:space="preserve"> </w:t>
      </w:r>
      <w:r w:rsidRPr="00FB21CA">
        <w:t xml:space="preserve">teléfono celular, o bien utilizándolo como acceso, para </w:t>
      </w:r>
      <w:r w:rsidR="00D10AA4" w:rsidRPr="00FB21CA">
        <w:t>conectar</w:t>
      </w:r>
      <w:r w:rsidR="00D10AA4">
        <w:t>s</w:t>
      </w:r>
      <w:r w:rsidR="00D10AA4" w:rsidRPr="00FB21CA">
        <w:t xml:space="preserve">e </w:t>
      </w:r>
      <w:r w:rsidRPr="00FB21CA">
        <w:t>desde una computadora portátil, de escritorio, ó una agenda electrónica</w:t>
      </w:r>
      <w:r w:rsidR="00D10AA4">
        <w:t>.</w:t>
      </w:r>
    </w:p>
    <w:p w14:paraId="538BCC53" w14:textId="77777777" w:rsidR="00A65F5F" w:rsidRDefault="00A65F5F" w:rsidP="00A65F5F">
      <w:pPr>
        <w:pStyle w:val="Prrafodelista"/>
        <w:ind w:left="-567" w:right="-25"/>
      </w:pPr>
    </w:p>
    <w:p w14:paraId="352A641F" w14:textId="77777777" w:rsidR="00A65F5F" w:rsidRDefault="00A65F5F" w:rsidP="00A65F5F">
      <w:pPr>
        <w:pStyle w:val="Prrafodelista"/>
        <w:ind w:left="-567" w:right="-25"/>
      </w:pPr>
      <w:r w:rsidRPr="00F62844">
        <w:rPr>
          <w:b/>
          <w:u w:val="single"/>
        </w:rPr>
        <w:t>Acelera empresarial y corporativo:</w:t>
      </w:r>
      <w:r>
        <w:t xml:space="preserve"> Servicio que permite conectar a una</w:t>
      </w:r>
      <w:r w:rsidRPr="00F62844">
        <w:t xml:space="preserve"> empresa a alta velocidad y en forma permanente al mundo de la Internet. Con Acelera Empresarial (conexión simétrica vía tecnología SHDSL) y Corporativo (conexión simétrica vía tecnología óptica), </w:t>
      </w:r>
      <w:r>
        <w:t>se podrá</w:t>
      </w:r>
      <w:r w:rsidRPr="00F62844">
        <w:t xml:space="preserve"> seleccionar la conexión que más se ajus</w:t>
      </w:r>
      <w:r>
        <w:t>te a las necesidades del</w:t>
      </w:r>
      <w:r w:rsidRPr="00F62844">
        <w:t xml:space="preserve"> negocio</w:t>
      </w:r>
      <w:r w:rsidR="00D10AA4">
        <w:t>.</w:t>
      </w:r>
    </w:p>
    <w:p w14:paraId="364FB62E" w14:textId="77777777" w:rsidR="00A65F5F" w:rsidRDefault="00A65F5F" w:rsidP="00A65F5F">
      <w:pPr>
        <w:pStyle w:val="Prrafodelista"/>
        <w:ind w:left="-567" w:right="-25"/>
      </w:pPr>
    </w:p>
    <w:p w14:paraId="2B0CD00A" w14:textId="77777777" w:rsidR="00A65F5F" w:rsidRDefault="00A65F5F" w:rsidP="00A65F5F">
      <w:pPr>
        <w:pStyle w:val="Prrafodelista"/>
        <w:ind w:left="-567" w:right="-25"/>
      </w:pPr>
      <w:r w:rsidRPr="00012748">
        <w:rPr>
          <w:b/>
          <w:u w:val="single"/>
        </w:rPr>
        <w:t>Videoconferencia:</w:t>
      </w:r>
      <w:r>
        <w:t xml:space="preserve"> </w:t>
      </w:r>
      <w:r w:rsidRPr="00012748">
        <w:t>Comunicación de audio, video y datos que permite intercomunicar en tiempo real</w:t>
      </w:r>
      <w:r w:rsidR="00D10AA4">
        <w:t>.</w:t>
      </w:r>
    </w:p>
    <w:p w14:paraId="2595D47E" w14:textId="77777777" w:rsidR="00A65F5F" w:rsidRDefault="00A65F5F" w:rsidP="00A65F5F">
      <w:pPr>
        <w:pStyle w:val="Prrafodelista"/>
        <w:ind w:left="-567" w:right="-25"/>
      </w:pPr>
    </w:p>
    <w:p w14:paraId="0005BCD8" w14:textId="77777777" w:rsidR="00A65F5F" w:rsidRDefault="00A65F5F" w:rsidP="00A65F5F">
      <w:pPr>
        <w:pStyle w:val="Prrafodelista"/>
        <w:ind w:left="-567" w:right="-25"/>
      </w:pPr>
      <w:r w:rsidRPr="00561773">
        <w:rPr>
          <w:b/>
          <w:u w:val="single"/>
        </w:rPr>
        <w:t>Acelera inalámbrico: (WIMAX):</w:t>
      </w:r>
      <w:r>
        <w:t xml:space="preserve"> La tecnología de conectividad WiMAX, es un servicio de alta velocidad de conexión inalámbrica, cuya transmisión se realiza mediante ondas de radio. Esta solución se orienta a brindar el acceso de última milla.  Entre las características que presenta esta tecnología, es que no requiere de línea vista para implementar la solución</w:t>
      </w:r>
    </w:p>
    <w:p w14:paraId="772A607D" w14:textId="77777777" w:rsidR="00A65F5F" w:rsidRDefault="00A65F5F" w:rsidP="00A65F5F">
      <w:pPr>
        <w:pStyle w:val="Prrafodelista"/>
        <w:ind w:left="-567" w:right="-25"/>
      </w:pPr>
    </w:p>
    <w:p w14:paraId="2FC49A31" w14:textId="77777777" w:rsidR="00A65F5F" w:rsidRDefault="00A65F5F" w:rsidP="00A65F5F">
      <w:pPr>
        <w:pStyle w:val="Prrafodelista"/>
        <w:ind w:left="-567" w:right="-25"/>
      </w:pPr>
      <w:r w:rsidRPr="00280A25">
        <w:rPr>
          <w:b/>
          <w:u w:val="single"/>
        </w:rPr>
        <w:t>Redes Virtuales Privadas:</w:t>
      </w:r>
      <w:r>
        <w:t xml:space="preserve"> </w:t>
      </w:r>
      <w:r w:rsidRPr="00280A25">
        <w:t xml:space="preserve">Con el servicio VPN </w:t>
      </w:r>
      <w:r>
        <w:t xml:space="preserve">se puede </w:t>
      </w:r>
      <w:r w:rsidRPr="00280A25">
        <w:t>tener conexiones priva</w:t>
      </w:r>
      <w:r>
        <w:t>das entre distintos sitios de una</w:t>
      </w:r>
      <w:r w:rsidRPr="00280A25">
        <w:t xml:space="preserve"> empresa, utilizando la red IP del ICE, bajo la tecnología MPLS</w:t>
      </w:r>
      <w:r w:rsidR="00D10AA4">
        <w:t>.</w:t>
      </w:r>
      <w:r>
        <w:t xml:space="preserve"> </w:t>
      </w:r>
    </w:p>
    <w:p w14:paraId="245C181A" w14:textId="77777777" w:rsidR="00D10AA4" w:rsidRDefault="00D10AA4" w:rsidP="00A65F5F">
      <w:pPr>
        <w:pStyle w:val="Prrafodelista"/>
        <w:ind w:left="-567" w:right="-25"/>
      </w:pPr>
    </w:p>
    <w:p w14:paraId="7C15702A" w14:textId="77777777" w:rsidR="00A65F5F" w:rsidRDefault="00A65F5F" w:rsidP="00A65F5F">
      <w:pPr>
        <w:pStyle w:val="Prrafodelista"/>
        <w:ind w:left="-567" w:right="-25"/>
      </w:pPr>
      <w:r w:rsidRPr="00A86C60">
        <w:rPr>
          <w:b/>
          <w:u w:val="single"/>
        </w:rPr>
        <w:t>Llamadas de texto SMS:</w:t>
      </w:r>
      <w:r>
        <w:t xml:space="preserve"> Envío de</w:t>
      </w:r>
      <w:r w:rsidRPr="00A86C60">
        <w:t xml:space="preserve"> mensajes de texto SMS a sus teléfonos celulares y/o una cuenta de correo electrónico</w:t>
      </w:r>
      <w:r w:rsidR="00D10AA4">
        <w:t>.</w:t>
      </w:r>
    </w:p>
    <w:p w14:paraId="5D7CE97A" w14:textId="77777777" w:rsidR="00A65F5F" w:rsidRDefault="00A65F5F" w:rsidP="00A65F5F">
      <w:pPr>
        <w:pStyle w:val="Prrafodelista"/>
        <w:ind w:left="-567" w:right="-25"/>
      </w:pPr>
    </w:p>
    <w:p w14:paraId="1C15CEA8" w14:textId="77777777" w:rsidR="00A65F5F" w:rsidRDefault="00A65F5F" w:rsidP="00A65F5F">
      <w:pPr>
        <w:pStyle w:val="Prrafodelista"/>
        <w:ind w:left="-567" w:right="-25"/>
      </w:pPr>
      <w:r w:rsidRPr="00A5075A">
        <w:rPr>
          <w:b/>
          <w:u w:val="single"/>
        </w:rPr>
        <w:t>Llamadas a cobrar:</w:t>
      </w:r>
      <w:r>
        <w:t xml:space="preserve"> Son las llamadas que se efectúan a cargar al teléfono de destino, previa aceptación del cargo, por la persona a la que se llama.</w:t>
      </w:r>
    </w:p>
    <w:p w14:paraId="0BA5B4A3" w14:textId="77777777" w:rsidR="00A65F5F" w:rsidRDefault="00A65F5F" w:rsidP="00A65F5F">
      <w:pPr>
        <w:pStyle w:val="Prrafodelista"/>
        <w:ind w:left="-567" w:right="-25"/>
      </w:pPr>
    </w:p>
    <w:p w14:paraId="6F0F8E21" w14:textId="77777777" w:rsidR="00A65F5F" w:rsidRDefault="00A65F5F" w:rsidP="00A65F5F">
      <w:pPr>
        <w:pStyle w:val="Prrafodelista"/>
        <w:ind w:left="-567" w:right="-25"/>
      </w:pPr>
      <w:r w:rsidRPr="00B72800">
        <w:rPr>
          <w:b/>
          <w:u w:val="single"/>
        </w:rPr>
        <w:t>Llamadas persona a persona:</w:t>
      </w:r>
      <w:r>
        <w:t xml:space="preserve"> Son las llamadas que se solicitan para comunicarse con una persona determinada.  Se cobra únicamente cuando se establece la comunicación con la persona que se desea hablar.</w:t>
      </w:r>
    </w:p>
    <w:p w14:paraId="42CC7BAD" w14:textId="77777777" w:rsidR="00A65F5F" w:rsidRDefault="00A65F5F" w:rsidP="00A65F5F">
      <w:pPr>
        <w:pStyle w:val="Prrafodelista"/>
        <w:ind w:left="-567" w:right="-25"/>
      </w:pPr>
    </w:p>
    <w:p w14:paraId="39B18712" w14:textId="77777777" w:rsidR="00A65F5F" w:rsidRDefault="00A65F5F" w:rsidP="00A65F5F">
      <w:pPr>
        <w:pStyle w:val="Prrafodelista"/>
        <w:ind w:left="-567" w:right="-25"/>
      </w:pPr>
      <w:r w:rsidRPr="00B72800">
        <w:rPr>
          <w:b/>
          <w:u w:val="single"/>
        </w:rPr>
        <w:t>MIDA:</w:t>
      </w:r>
      <w:r>
        <w:t xml:space="preserve"> Es un servicio de llamadas internacionales por medio del cual el usuario mismo realiza sus llamadas al extranjero de una forma directa, es decir, sin operadora.</w:t>
      </w:r>
    </w:p>
    <w:p w14:paraId="6A97949A" w14:textId="77777777" w:rsidR="00D10AA4" w:rsidRDefault="00D10AA4" w:rsidP="00A65F5F">
      <w:pPr>
        <w:pStyle w:val="Prrafodelista"/>
        <w:ind w:left="-567" w:right="-25"/>
      </w:pPr>
    </w:p>
    <w:p w14:paraId="542CDAB2" w14:textId="77777777" w:rsidR="00A65F5F" w:rsidRDefault="00A65F5F" w:rsidP="00A65F5F">
      <w:pPr>
        <w:pStyle w:val="Prrafodelista"/>
        <w:ind w:left="-567" w:right="-25"/>
      </w:pPr>
      <w:r w:rsidRPr="00B72800">
        <w:rPr>
          <w:b/>
          <w:u w:val="single"/>
        </w:rPr>
        <w:t>País Directo:</w:t>
      </w:r>
      <w:r>
        <w:t xml:space="preserve">  es un servicio que consiste en realizar llamadas hacia otros países desde Costa Rica, por cobrar al lugar que se está llamando con la operadora del país de destino.</w:t>
      </w:r>
    </w:p>
    <w:p w14:paraId="57CEB714" w14:textId="77777777" w:rsidR="00A65F5F" w:rsidRDefault="00A65F5F" w:rsidP="00A65F5F">
      <w:pPr>
        <w:pStyle w:val="Prrafodelista"/>
        <w:ind w:left="-567" w:right="-25"/>
      </w:pPr>
    </w:p>
    <w:p w14:paraId="305260FE" w14:textId="77777777" w:rsidR="00A65F5F" w:rsidRDefault="00A65F5F" w:rsidP="00A65F5F">
      <w:pPr>
        <w:pStyle w:val="Prrafodelista"/>
        <w:ind w:left="-567" w:right="-25"/>
      </w:pPr>
      <w:r w:rsidRPr="004939EB">
        <w:rPr>
          <w:b/>
          <w:u w:val="single"/>
        </w:rPr>
        <w:t>Costa Rica Directo:</w:t>
      </w:r>
      <w:r>
        <w:t xml:space="preserve"> Servicio en el que se puede</w:t>
      </w:r>
      <w:r w:rsidRPr="004939EB">
        <w:t xml:space="preserve"> llamar desde Costa Rica hacia otros países con cargo a una tarjeta de crédito o por cobrar al número de teléfono que </w:t>
      </w:r>
      <w:r w:rsidR="00D10AA4">
        <w:t xml:space="preserve">se </w:t>
      </w:r>
      <w:r w:rsidR="00D10AA4" w:rsidRPr="004939EB">
        <w:t>llama</w:t>
      </w:r>
      <w:r w:rsidR="00D10AA4">
        <w:t>.</w:t>
      </w:r>
    </w:p>
    <w:p w14:paraId="635FCB3C" w14:textId="77777777" w:rsidR="00A65F5F" w:rsidRDefault="00A65F5F" w:rsidP="00A65F5F">
      <w:pPr>
        <w:pStyle w:val="Prrafodelista"/>
        <w:ind w:left="-567" w:right="-25"/>
      </w:pPr>
    </w:p>
    <w:p w14:paraId="6D04AA44" w14:textId="77777777" w:rsidR="00A65F5F" w:rsidRDefault="00A65F5F" w:rsidP="00A65F5F">
      <w:pPr>
        <w:pStyle w:val="Prrafodelista"/>
        <w:ind w:left="-567" w:right="-25"/>
      </w:pPr>
      <w:r w:rsidRPr="00934DB6">
        <w:rPr>
          <w:b/>
          <w:u w:val="single"/>
        </w:rPr>
        <w:t>Tarjeta Munditel:</w:t>
      </w:r>
      <w:r>
        <w:t xml:space="preserve"> Se puede </w:t>
      </w:r>
      <w:r w:rsidRPr="006B7815">
        <w:t xml:space="preserve">llamar desde y hacia Costa Rica facturando todas las llamadas en el número de teléfono que </w:t>
      </w:r>
      <w:r w:rsidR="00D10AA4">
        <w:t xml:space="preserve">el cliente </w:t>
      </w:r>
      <w:r w:rsidR="00D10AA4" w:rsidRPr="006B7815">
        <w:t>indique</w:t>
      </w:r>
      <w:r w:rsidR="00D10AA4">
        <w:t>.</w:t>
      </w:r>
    </w:p>
    <w:p w14:paraId="6704DB00" w14:textId="77777777" w:rsidR="00A65F5F" w:rsidRDefault="00A65F5F" w:rsidP="00A65F5F">
      <w:pPr>
        <w:pStyle w:val="Prrafodelista"/>
        <w:ind w:left="-567" w:right="-25"/>
      </w:pPr>
    </w:p>
    <w:p w14:paraId="40528935" w14:textId="77777777" w:rsidR="00A65F5F" w:rsidRDefault="00A65F5F" w:rsidP="00A65F5F">
      <w:pPr>
        <w:pStyle w:val="Prrafodelista"/>
        <w:ind w:left="-567" w:right="-25"/>
      </w:pPr>
    </w:p>
    <w:p w14:paraId="396699E9" w14:textId="77777777" w:rsidR="00A65F5F" w:rsidRDefault="00A65F5F" w:rsidP="00A65F5F">
      <w:pPr>
        <w:pStyle w:val="Prrafodelista"/>
        <w:ind w:left="-567" w:right="-25"/>
      </w:pPr>
      <w:r w:rsidRPr="000B0223">
        <w:rPr>
          <w:b/>
          <w:u w:val="single"/>
        </w:rPr>
        <w:t>Roaming Internacional:</w:t>
      </w:r>
      <w:r>
        <w:t xml:space="preserve"> Permite utilizar el servicio celular en el extranjero como si estuviera en Costa Rica.</w:t>
      </w:r>
    </w:p>
    <w:p w14:paraId="302B4973" w14:textId="77777777" w:rsidR="00A65F5F" w:rsidRDefault="00A65F5F" w:rsidP="00A65F5F">
      <w:pPr>
        <w:pStyle w:val="Prrafodelista"/>
        <w:ind w:left="-567" w:right="-25"/>
      </w:pPr>
    </w:p>
    <w:p w14:paraId="07AD9766" w14:textId="77777777" w:rsidR="00A65F5F" w:rsidRDefault="00A65F5F" w:rsidP="00A65F5F">
      <w:pPr>
        <w:pStyle w:val="Prrafodelista"/>
        <w:ind w:left="-567" w:right="-25"/>
      </w:pPr>
      <w:r w:rsidRPr="00A5075A">
        <w:rPr>
          <w:b/>
          <w:u w:val="single"/>
        </w:rPr>
        <w:t>Servicio 900:</w:t>
      </w:r>
      <w:r>
        <w:t xml:space="preserve"> Es un servicio que ofrece al cliente información relacionada con servicios varios tales como asesorías profesionales, consultas médicas, ventas de repuestos para automóviles, entre otros.</w:t>
      </w:r>
    </w:p>
    <w:p w14:paraId="2995D6A2" w14:textId="77777777" w:rsidR="00A65F5F" w:rsidRDefault="00A65F5F" w:rsidP="00A65F5F">
      <w:pPr>
        <w:pStyle w:val="Prrafodelista"/>
        <w:ind w:left="-567" w:right="-25"/>
      </w:pPr>
    </w:p>
    <w:p w14:paraId="7457CFA1" w14:textId="77777777" w:rsidR="00A65F5F" w:rsidRDefault="00A65F5F" w:rsidP="00A65F5F">
      <w:pPr>
        <w:pStyle w:val="Prrafodelista"/>
        <w:ind w:left="-567" w:right="-25"/>
      </w:pPr>
      <w:r w:rsidRPr="00B72800">
        <w:rPr>
          <w:b/>
          <w:u w:val="single"/>
        </w:rPr>
        <w:t>Servicio Colibrí 197:</w:t>
      </w:r>
      <w:r>
        <w:t xml:space="preserve">  Es una tarjeta telefónica que puede ser utilizada desde cualquier teléfono de tonos (de moneda, de tarjeta chip, fijo, móvil o del sistema Colibrí 197).</w:t>
      </w:r>
    </w:p>
    <w:p w14:paraId="67C537F7" w14:textId="77777777" w:rsidR="00A65F5F" w:rsidRDefault="00A65F5F" w:rsidP="00A65F5F">
      <w:pPr>
        <w:pStyle w:val="Prrafodelista"/>
        <w:ind w:left="-567" w:right="-25"/>
      </w:pPr>
    </w:p>
    <w:p w14:paraId="1400EEE7" w14:textId="77777777" w:rsidR="00A65F5F" w:rsidRDefault="00A65F5F" w:rsidP="00A65F5F">
      <w:pPr>
        <w:pStyle w:val="Prrafodelista"/>
        <w:ind w:left="-567" w:right="-25"/>
      </w:pPr>
      <w:r w:rsidRPr="00B72800">
        <w:rPr>
          <w:b/>
          <w:u w:val="single"/>
        </w:rPr>
        <w:t xml:space="preserve">Servicio de información </w:t>
      </w:r>
      <w:r>
        <w:rPr>
          <w:b/>
          <w:u w:val="single"/>
        </w:rPr>
        <w:t>1</w:t>
      </w:r>
      <w:r w:rsidRPr="00B72800">
        <w:rPr>
          <w:b/>
          <w:u w:val="single"/>
        </w:rPr>
        <w:t>113:</w:t>
      </w:r>
      <w:r>
        <w:t xml:space="preserve">   Es un sistema mediante el cual se puede solicitar información sobre números telefónicos que no se encuentran en la Guía Telefónica.</w:t>
      </w:r>
    </w:p>
    <w:p w14:paraId="02D9C42D" w14:textId="77777777" w:rsidR="00A65F5F" w:rsidRDefault="00A65F5F" w:rsidP="00A65F5F">
      <w:pPr>
        <w:pStyle w:val="Prrafodelista"/>
        <w:ind w:left="-567" w:right="-25"/>
      </w:pPr>
    </w:p>
    <w:p w14:paraId="7747A4EC" w14:textId="77777777" w:rsidR="00A65F5F" w:rsidRDefault="00A65F5F" w:rsidP="00A65F5F">
      <w:pPr>
        <w:pStyle w:val="Prrafodelista"/>
        <w:ind w:left="-567" w:right="-25"/>
      </w:pPr>
      <w:r w:rsidRPr="00BE042B">
        <w:rPr>
          <w:b/>
          <w:u w:val="single"/>
        </w:rPr>
        <w:t>Servicios 1</w:t>
      </w:r>
      <w:r>
        <w:rPr>
          <w:b/>
          <w:u w:val="single"/>
        </w:rPr>
        <w:t>1</w:t>
      </w:r>
      <w:r w:rsidRPr="00BE042B">
        <w:rPr>
          <w:b/>
          <w:u w:val="single"/>
        </w:rPr>
        <w:t>16:</w:t>
      </w:r>
      <w:r>
        <w:t xml:space="preserve"> Llamadas internacionales asistido por un agente de servicios bilingüe</w:t>
      </w:r>
      <w:r w:rsidR="00D10AA4">
        <w:t>.</w:t>
      </w:r>
    </w:p>
    <w:p w14:paraId="128EE2E2" w14:textId="77777777" w:rsidR="00A65F5F" w:rsidRDefault="00A65F5F" w:rsidP="00A65F5F">
      <w:pPr>
        <w:pStyle w:val="Prrafodelista"/>
        <w:ind w:left="-567" w:right="-25"/>
      </w:pPr>
    </w:p>
    <w:p w14:paraId="0EA2A6EF" w14:textId="77777777" w:rsidR="00A65F5F" w:rsidRDefault="00A65F5F" w:rsidP="00A65F5F">
      <w:pPr>
        <w:pStyle w:val="Prrafodelista"/>
        <w:ind w:left="-567" w:right="-25"/>
      </w:pPr>
      <w:r w:rsidRPr="00FB7E6E">
        <w:rPr>
          <w:b/>
          <w:u w:val="single"/>
        </w:rPr>
        <w:t>Servicio 09:</w:t>
      </w:r>
      <w:r>
        <w:t xml:space="preserve"> </w:t>
      </w:r>
      <w:r w:rsidRPr="00FB7E6E">
        <w:t xml:space="preserve">Realiza llamadas internacionales asistido por un agente de servicio bilingüe, bajo la modalidad persona a persona, es decir, la conexión se establece hasta que conteste la persona con la que </w:t>
      </w:r>
      <w:r w:rsidR="00D10AA4">
        <w:t xml:space="preserve">se </w:t>
      </w:r>
      <w:r w:rsidRPr="00FB7E6E">
        <w:t>desea hablar</w:t>
      </w:r>
      <w:r w:rsidR="00D10AA4">
        <w:t>.</w:t>
      </w:r>
    </w:p>
    <w:p w14:paraId="10EAE675" w14:textId="77777777" w:rsidR="00A65F5F" w:rsidRDefault="00A65F5F" w:rsidP="00A65F5F">
      <w:pPr>
        <w:pStyle w:val="Prrafodelista"/>
        <w:ind w:left="-567" w:right="-25"/>
      </w:pPr>
    </w:p>
    <w:p w14:paraId="1E97E2DC" w14:textId="77777777" w:rsidR="00A65F5F" w:rsidRDefault="00A65F5F" w:rsidP="00A65F5F">
      <w:pPr>
        <w:pStyle w:val="Prrafodelista"/>
        <w:ind w:left="-567" w:right="-25"/>
      </w:pPr>
      <w:r w:rsidRPr="00B72800">
        <w:rPr>
          <w:b/>
          <w:u w:val="single"/>
        </w:rPr>
        <w:t>Servicio gratuito 800 (Nacional):</w:t>
      </w:r>
      <w:r>
        <w:t xml:space="preserve"> Es un servicio de llamadas gratuitas para los clientes de empresas que se encuentran en el territorio de Costa Rica.  Es un sistema de cobro revertido que le permite a las empresas u organizaciones la habilitación de un número telefónico, con tal de que los clientes manifiesten sus deseos y lo que piensan.</w:t>
      </w:r>
    </w:p>
    <w:p w14:paraId="43E6C8EB" w14:textId="77777777" w:rsidR="00A65F5F" w:rsidRDefault="00A65F5F" w:rsidP="00A65F5F">
      <w:pPr>
        <w:pStyle w:val="Prrafodelista"/>
        <w:ind w:left="-567" w:right="-25"/>
      </w:pPr>
    </w:p>
    <w:p w14:paraId="07B6C5A7" w14:textId="77777777" w:rsidR="00A65F5F" w:rsidRDefault="00A65F5F" w:rsidP="00A65F5F">
      <w:pPr>
        <w:pStyle w:val="Prrafodelista"/>
        <w:ind w:left="-567" w:right="-25"/>
      </w:pPr>
      <w:r w:rsidRPr="00B72800">
        <w:rPr>
          <w:b/>
          <w:u w:val="single"/>
        </w:rPr>
        <w:t>Servicio Información Internacional 1</w:t>
      </w:r>
      <w:r>
        <w:rPr>
          <w:b/>
          <w:u w:val="single"/>
        </w:rPr>
        <w:t>1</w:t>
      </w:r>
      <w:r w:rsidRPr="00B72800">
        <w:rPr>
          <w:b/>
          <w:u w:val="single"/>
        </w:rPr>
        <w:t>24:</w:t>
      </w:r>
      <w:r>
        <w:t xml:space="preserve"> Es el servicio que brinda a los clientes todo tipo de información telefónica y tarifaría de los servicios de telecomunicaciones internacionales.</w:t>
      </w:r>
    </w:p>
    <w:p w14:paraId="09C948D3" w14:textId="77777777" w:rsidR="00A65F5F" w:rsidRDefault="00A65F5F" w:rsidP="00A65F5F">
      <w:pPr>
        <w:pStyle w:val="Prrafodelista"/>
        <w:ind w:left="-567" w:right="-25"/>
      </w:pPr>
    </w:p>
    <w:p w14:paraId="09FB8020" w14:textId="77777777" w:rsidR="00A65F5F" w:rsidRDefault="00A65F5F" w:rsidP="00A65F5F">
      <w:pPr>
        <w:pStyle w:val="Prrafodelista"/>
        <w:ind w:left="-567" w:right="-25"/>
      </w:pPr>
      <w:r w:rsidRPr="00B72800">
        <w:rPr>
          <w:b/>
          <w:u w:val="single"/>
        </w:rPr>
        <w:t>Servicio RDSI Básico:</w:t>
      </w:r>
      <w:r>
        <w:t xml:space="preserve"> Este servicio permite al usuario, a través de su teléfono, navegar en Internet, recibir faxes, trasmitir voz, datos e imágenes en forma simultánea sin saturar sus líneas telefónicas.</w:t>
      </w:r>
    </w:p>
    <w:p w14:paraId="106F0B51" w14:textId="77777777" w:rsidR="00A65F5F" w:rsidRDefault="00A65F5F" w:rsidP="00A65F5F">
      <w:pPr>
        <w:pStyle w:val="Prrafodelista"/>
        <w:ind w:left="-567" w:right="-25"/>
      </w:pPr>
    </w:p>
    <w:p w14:paraId="0F11E50A" w14:textId="77777777" w:rsidR="00A65F5F" w:rsidRDefault="00A65F5F" w:rsidP="00A65F5F">
      <w:pPr>
        <w:pStyle w:val="Prrafodelista"/>
        <w:ind w:left="-567" w:right="-25"/>
      </w:pPr>
      <w:r w:rsidRPr="00B72800">
        <w:rPr>
          <w:b/>
          <w:u w:val="single"/>
        </w:rPr>
        <w:t>Servicio Viajera Internacional 1</w:t>
      </w:r>
      <w:r>
        <w:rPr>
          <w:b/>
          <w:u w:val="single"/>
        </w:rPr>
        <w:t>1</w:t>
      </w:r>
      <w:r w:rsidRPr="00B72800">
        <w:rPr>
          <w:b/>
          <w:u w:val="single"/>
        </w:rPr>
        <w:t>99:</w:t>
      </w:r>
      <w:r>
        <w:t xml:space="preserve"> Es una tarjeta telefónica que puede ser utilizada para llamadas internacionales desde cualquier teléfono de tonos.</w:t>
      </w:r>
    </w:p>
    <w:p w14:paraId="3C8C7677" w14:textId="77777777" w:rsidR="00A65F5F" w:rsidRDefault="00A65F5F" w:rsidP="00A65F5F">
      <w:pPr>
        <w:pStyle w:val="Prrafodelista"/>
        <w:ind w:left="-567" w:right="-25"/>
      </w:pPr>
    </w:p>
    <w:p w14:paraId="73A99828" w14:textId="77777777" w:rsidR="00A65F5F" w:rsidRDefault="00A65F5F" w:rsidP="00A65F5F">
      <w:pPr>
        <w:pStyle w:val="Prrafodelista"/>
        <w:ind w:left="-567" w:right="-25"/>
      </w:pPr>
      <w:r w:rsidRPr="00B72800">
        <w:rPr>
          <w:b/>
          <w:u w:val="single"/>
        </w:rPr>
        <w:t>Servicios empresariales, ICE:</w:t>
      </w:r>
      <w:r>
        <w:t xml:space="preserve">  Son los servicios de Red Digital de Servicios Integrados (RDSI), Marcación Directa a la Extensión (MDE), Líneas Dedicadas de alta y baja velocidad a nivel nacional e internacional, Centrales Empresariales Privadas (PABX), Frame Relay, Videoconferencia y Servicios de multimedia (voz, datos y video)</w:t>
      </w:r>
    </w:p>
    <w:p w14:paraId="4C3F2A12" w14:textId="77777777" w:rsidR="00A65F5F" w:rsidRDefault="00A65F5F" w:rsidP="00A65F5F">
      <w:pPr>
        <w:pStyle w:val="Prrafodelista"/>
        <w:ind w:left="-567" w:right="-25"/>
      </w:pPr>
    </w:p>
    <w:p w14:paraId="2E3DD1FA" w14:textId="77777777" w:rsidR="00A65F5F" w:rsidRDefault="00A65F5F" w:rsidP="00A65F5F">
      <w:pPr>
        <w:pStyle w:val="Prrafodelista"/>
        <w:ind w:left="-567" w:right="-25"/>
      </w:pPr>
      <w:r w:rsidRPr="00B72800">
        <w:rPr>
          <w:b/>
          <w:u w:val="single"/>
        </w:rPr>
        <w:t>Tarjeta Telefónica de Crédito:</w:t>
      </w:r>
      <w:r>
        <w:t xml:space="preserve"> Permite el cargo de sus llamadas internacionales a la cuenta personal de la tarjeta de crédito comercial del usuario.</w:t>
      </w:r>
    </w:p>
    <w:p w14:paraId="14AD2AB5" w14:textId="77777777" w:rsidR="00A65F5F" w:rsidRDefault="00A65F5F" w:rsidP="00A65F5F">
      <w:pPr>
        <w:pStyle w:val="Prrafodelista"/>
        <w:ind w:left="-567" w:right="-25"/>
      </w:pPr>
    </w:p>
    <w:p w14:paraId="524C0EC9" w14:textId="77777777" w:rsidR="00A65F5F" w:rsidRDefault="00A65F5F" w:rsidP="00A65F5F">
      <w:pPr>
        <w:pStyle w:val="Prrafodelista"/>
        <w:ind w:left="-567" w:right="-25"/>
      </w:pPr>
      <w:r w:rsidRPr="00B72800">
        <w:rPr>
          <w:b/>
          <w:u w:val="single"/>
        </w:rPr>
        <w:t>Tarjetas telefónicas:</w:t>
      </w:r>
      <w:r>
        <w:t xml:space="preserve"> Las llamadas con tarjetas telefónicas son llamadas que el usuario realiza desde Costa Rica hacia otros países y, desde los países que tienen disponible el Servicio Costa Rica Directo hacia nuestro país.  Estas llamadas se hacen mediante un operador el cual valida la tarjeta.</w:t>
      </w:r>
    </w:p>
    <w:p w14:paraId="4AE0153A" w14:textId="77777777" w:rsidR="00A65F5F" w:rsidRDefault="00A65F5F" w:rsidP="00A65F5F">
      <w:pPr>
        <w:pStyle w:val="Prrafodelista"/>
        <w:ind w:left="-567" w:right="-25"/>
      </w:pPr>
    </w:p>
    <w:p w14:paraId="119B349B" w14:textId="77777777" w:rsidR="00A65F5F" w:rsidRDefault="00A65F5F" w:rsidP="00A65F5F">
      <w:pPr>
        <w:pStyle w:val="Prrafodelista"/>
        <w:ind w:left="-567" w:right="-25"/>
      </w:pPr>
      <w:r w:rsidRPr="00B72800">
        <w:rPr>
          <w:b/>
          <w:u w:val="single"/>
        </w:rPr>
        <w:t>Telefonía fija:</w:t>
      </w:r>
      <w:r>
        <w:t xml:space="preserve">  Es el servicio de telefonía fija que brinda la oportunidad de establecer comunicación oportuna desde las principales ciudades hasta los puntos más importantes y alejados del territorio de Costa Rica, así como la conexión con otros sistemas de telecomunicaciones de otros países.</w:t>
      </w:r>
    </w:p>
    <w:p w14:paraId="0A3DCC51" w14:textId="77777777" w:rsidR="00A65F5F" w:rsidRDefault="00A65F5F" w:rsidP="00A65F5F">
      <w:pPr>
        <w:pStyle w:val="Prrafodelista"/>
        <w:ind w:left="-567" w:right="-25"/>
      </w:pPr>
    </w:p>
    <w:p w14:paraId="7FD40721" w14:textId="77777777" w:rsidR="00A65F5F" w:rsidRDefault="00A65F5F" w:rsidP="00A65F5F">
      <w:pPr>
        <w:pStyle w:val="Prrafodelista"/>
        <w:ind w:left="-567" w:right="-25"/>
      </w:pPr>
      <w:r w:rsidRPr="00D57B4C">
        <w:rPr>
          <w:b/>
          <w:u w:val="single"/>
        </w:rPr>
        <w:t>Línea DUO:</w:t>
      </w:r>
      <w:r>
        <w:t xml:space="preserve"> Comunicación digital de extremo a extremo. Soportado en la tecnología RDSI (Red Digital de Servicios Integrados) de acceso básico con capacidad multimedia, es decir, permite la transmisión de datos, imágenes, voz, y video.</w:t>
      </w:r>
    </w:p>
    <w:p w14:paraId="042276AD" w14:textId="77777777" w:rsidR="00A65F5F" w:rsidRDefault="00A65F5F" w:rsidP="00A65F5F">
      <w:pPr>
        <w:pStyle w:val="Prrafodelista"/>
        <w:ind w:left="-567" w:right="-25"/>
      </w:pPr>
    </w:p>
    <w:p w14:paraId="392F7DBA" w14:textId="77777777" w:rsidR="00A65F5F" w:rsidRDefault="00A65F5F" w:rsidP="00A65F5F">
      <w:pPr>
        <w:pStyle w:val="Prrafodelista"/>
        <w:ind w:left="-567" w:right="-25"/>
      </w:pPr>
      <w:r w:rsidRPr="00FA0C9C">
        <w:rPr>
          <w:b/>
          <w:u w:val="single"/>
        </w:rPr>
        <w:t>Servicio VSAT-ICE:</w:t>
      </w:r>
      <w:r>
        <w:t xml:space="preserve"> </w:t>
      </w:r>
      <w:r w:rsidRPr="00FA0C9C">
        <w:t>VSAT-ICE (Very Small Aperture Terminals) Comunicación vía satélite que permite el acceso a servicios de telefonía e Internet en sitios donde aún no hay cobertura del Sistema Nacional de Telecomunicaciones (SNT) del ICE</w:t>
      </w:r>
    </w:p>
    <w:p w14:paraId="6DF708DB" w14:textId="77777777" w:rsidR="00A65F5F" w:rsidRDefault="00A65F5F" w:rsidP="00A65F5F">
      <w:pPr>
        <w:pStyle w:val="Prrafodelista"/>
        <w:ind w:left="-567" w:right="-25"/>
      </w:pPr>
    </w:p>
    <w:p w14:paraId="391BB3EB" w14:textId="77777777" w:rsidR="00A65F5F" w:rsidRDefault="00A65F5F" w:rsidP="00A65F5F">
      <w:pPr>
        <w:pStyle w:val="Prrafodelista"/>
        <w:ind w:left="-567" w:right="-25"/>
      </w:pPr>
      <w:r w:rsidRPr="00282995">
        <w:rPr>
          <w:b/>
          <w:u w:val="single"/>
        </w:rPr>
        <w:t>Despertador automático:</w:t>
      </w:r>
      <w:r>
        <w:t xml:space="preserve"> Permite p</w:t>
      </w:r>
      <w:r w:rsidRPr="00E41038">
        <w:t>rograma</w:t>
      </w:r>
      <w:r>
        <w:t>r</w:t>
      </w:r>
      <w:r w:rsidRPr="00E41038">
        <w:t xml:space="preserve"> el </w:t>
      </w:r>
      <w:r>
        <w:t>teléfono para que timbre y</w:t>
      </w:r>
      <w:r w:rsidRPr="00E41038">
        <w:t xml:space="preserve"> despierte a la hora que </w:t>
      </w:r>
      <w:r>
        <w:t>se desee</w:t>
      </w:r>
      <w:r w:rsidRPr="00E41038">
        <w:t>.</w:t>
      </w:r>
    </w:p>
    <w:p w14:paraId="76D209AC" w14:textId="77777777" w:rsidR="00187F9E" w:rsidRDefault="00187F9E" w:rsidP="00A65F5F">
      <w:pPr>
        <w:pStyle w:val="Prrafodelista"/>
        <w:ind w:left="-567" w:right="-25"/>
      </w:pPr>
    </w:p>
    <w:p w14:paraId="72C9FA60" w14:textId="77777777" w:rsidR="00A65F5F" w:rsidRDefault="00A65F5F" w:rsidP="00A65F5F">
      <w:pPr>
        <w:pStyle w:val="Prrafodelista"/>
        <w:ind w:left="-567" w:right="-25"/>
      </w:pPr>
      <w:r w:rsidRPr="00B72800">
        <w:rPr>
          <w:b/>
          <w:u w:val="single"/>
        </w:rPr>
        <w:t>Telefonía pública:</w:t>
      </w:r>
      <w:r>
        <w:t xml:space="preserve">  Este servicio consiste en una serie de cabinas telefónicas ubicadas en las principales ciudades de Costa Rica y las cuales pueden ser utilizadas con el depósito de una moneda o el uso de una tarjeta telefónica.</w:t>
      </w:r>
    </w:p>
    <w:p w14:paraId="49972E7C" w14:textId="77777777" w:rsidR="00A65F5F" w:rsidRDefault="00A65F5F" w:rsidP="00A65F5F">
      <w:pPr>
        <w:pStyle w:val="Prrafodelista"/>
        <w:ind w:left="-567" w:right="-25"/>
      </w:pPr>
    </w:p>
    <w:p w14:paraId="47DF1D65" w14:textId="77777777" w:rsidR="00A65F5F" w:rsidRDefault="00A65F5F" w:rsidP="00A65F5F">
      <w:pPr>
        <w:pStyle w:val="Prrafodelista"/>
        <w:ind w:left="-567" w:right="-25"/>
      </w:pPr>
      <w:r w:rsidRPr="00B72800">
        <w:rPr>
          <w:b/>
          <w:u w:val="single"/>
        </w:rPr>
        <w:t>Telefonía rural:</w:t>
      </w:r>
      <w:r>
        <w:t xml:space="preserve">  Es un mecanismo de teléfonos ubicados en diferentes zonas rurales de Costa Rica y cuya administración recae sobre un concesionario.</w:t>
      </w:r>
    </w:p>
    <w:p w14:paraId="55777711" w14:textId="77777777" w:rsidR="00A65F5F" w:rsidRDefault="00A65F5F" w:rsidP="00A65F5F">
      <w:pPr>
        <w:pStyle w:val="Prrafodelista"/>
        <w:ind w:left="-567" w:right="-25"/>
      </w:pPr>
    </w:p>
    <w:p w14:paraId="631FBD09" w14:textId="77777777" w:rsidR="00A65F5F" w:rsidRPr="002C6C4C" w:rsidRDefault="00A65F5F" w:rsidP="00A65F5F">
      <w:pPr>
        <w:pStyle w:val="Prrafodelista"/>
        <w:ind w:left="-567" w:right="-25"/>
      </w:pPr>
      <w:r w:rsidRPr="002C6C4C">
        <w:rPr>
          <w:b/>
          <w:u w:val="single"/>
        </w:rPr>
        <w:t>Telegestión 1115:</w:t>
      </w:r>
      <w:r w:rsidRPr="002C6C4C">
        <w:t xml:space="preserve"> Servicio mediante el cual se puede solicitar una serie de servicios relacionados al servicio de telefonía fija, sin necesidad de que el abonado telefónico tenga que desplazarse a una sucursal del ICE.</w:t>
      </w:r>
    </w:p>
    <w:p w14:paraId="53A3F7C2" w14:textId="77777777" w:rsidR="00A65F5F" w:rsidRPr="002C6C4C" w:rsidRDefault="00A65F5F" w:rsidP="00A65F5F">
      <w:pPr>
        <w:pStyle w:val="Prrafodelista"/>
        <w:ind w:left="-567" w:right="-25"/>
        <w:rPr>
          <w:b/>
          <w:u w:val="single"/>
        </w:rPr>
      </w:pPr>
    </w:p>
    <w:p w14:paraId="5464A01F" w14:textId="77777777" w:rsidR="00A65F5F" w:rsidRPr="002C6C4C" w:rsidRDefault="00A65F5F" w:rsidP="00A65F5F">
      <w:pPr>
        <w:pStyle w:val="Prrafodelista"/>
        <w:ind w:left="-567" w:right="-25"/>
      </w:pPr>
      <w:r w:rsidRPr="002C6C4C">
        <w:rPr>
          <w:b/>
          <w:u w:val="single"/>
        </w:rPr>
        <w:t xml:space="preserve">Soluciones Empresariales: </w:t>
      </w:r>
      <w:r w:rsidRPr="002C6C4C">
        <w:t>Oferta de servicios corporativos sobre el protocolo IP  para el mercado empresarial que contribuya con el desarrollo  de  sus negocios.</w:t>
      </w:r>
    </w:p>
    <w:p w14:paraId="335FAC84" w14:textId="77777777" w:rsidR="00A65F5F" w:rsidRPr="002C6C4C" w:rsidRDefault="00A65F5F" w:rsidP="00A65F5F">
      <w:pPr>
        <w:pStyle w:val="Prrafodelista"/>
        <w:ind w:left="-567" w:right="-25"/>
        <w:rPr>
          <w:b/>
          <w:u w:val="single"/>
        </w:rPr>
      </w:pPr>
    </w:p>
    <w:p w14:paraId="786A02F7" w14:textId="77777777" w:rsidR="00A65F5F" w:rsidRPr="002C6C4C" w:rsidRDefault="00A65F5F" w:rsidP="00A65F5F">
      <w:pPr>
        <w:pStyle w:val="Prrafodelista"/>
        <w:ind w:left="-567" w:right="-25"/>
      </w:pPr>
      <w:r w:rsidRPr="002C6C4C">
        <w:rPr>
          <w:b/>
          <w:u w:val="single"/>
        </w:rPr>
        <w:t xml:space="preserve">Unificación y expansión del Core Móvil: </w:t>
      </w:r>
      <w:r w:rsidRPr="002C6C4C">
        <w:t>Integrar el core móvil GSM, 3G W-CDMA/HSPA + 4G LTE con el fin de asegurar la continuidad del negocio mejorando la experiencia cliente</w:t>
      </w:r>
      <w:r w:rsidR="00187F9E">
        <w:t>.</w:t>
      </w:r>
    </w:p>
    <w:p w14:paraId="1600B4B8" w14:textId="77777777" w:rsidR="00A65F5F" w:rsidRPr="002C6C4C" w:rsidRDefault="00A65F5F" w:rsidP="00A65F5F">
      <w:pPr>
        <w:pStyle w:val="Prrafodelista"/>
        <w:ind w:left="-567" w:right="-25"/>
        <w:rPr>
          <w:b/>
          <w:u w:val="single"/>
        </w:rPr>
      </w:pPr>
    </w:p>
    <w:p w14:paraId="3421BB67" w14:textId="77777777" w:rsidR="00A65F5F" w:rsidRPr="002C6C4C" w:rsidRDefault="00A65F5F" w:rsidP="00A65F5F">
      <w:pPr>
        <w:pStyle w:val="Prrafodelista"/>
        <w:ind w:left="-567" w:right="-25"/>
      </w:pPr>
      <w:r w:rsidRPr="002C6C4C">
        <w:rPr>
          <w:b/>
          <w:u w:val="single"/>
        </w:rPr>
        <w:t xml:space="preserve">RANGE: </w:t>
      </w:r>
      <w:r w:rsidRPr="002C6C4C">
        <w:t>Red de acceso de banda ancha, basada en soluciones ópticas y mixtas en zonas definidas de alta rentabilidad, que permita brindar servicios multiplay.</w:t>
      </w:r>
    </w:p>
    <w:p w14:paraId="0D1F3FFA" w14:textId="77777777" w:rsidR="00A65F5F" w:rsidRPr="002C6C4C" w:rsidRDefault="00A65F5F" w:rsidP="00A65F5F">
      <w:pPr>
        <w:pStyle w:val="Prrafodelista"/>
        <w:ind w:left="-567" w:right="-25"/>
        <w:rPr>
          <w:highlight w:val="yellow"/>
          <w:lang w:val="es-CR"/>
        </w:rPr>
      </w:pPr>
    </w:p>
    <w:p w14:paraId="02E62055" w14:textId="77777777" w:rsidR="00A65F5F" w:rsidRPr="00534D1E" w:rsidRDefault="00A65F5F" w:rsidP="00EF0D70">
      <w:pPr>
        <w:pStyle w:val="Ttulo3"/>
        <w:numPr>
          <w:ilvl w:val="2"/>
          <w:numId w:val="47"/>
        </w:numPr>
        <w:ind w:left="142" w:hanging="709"/>
      </w:pPr>
      <w:bookmarkStart w:id="2046" w:name="_Toc304737221"/>
      <w:bookmarkStart w:id="2047" w:name="_Toc343676056"/>
      <w:bookmarkStart w:id="2048" w:name="_Toc358619419"/>
      <w:bookmarkStart w:id="2049" w:name="_Toc358620684"/>
      <w:bookmarkStart w:id="2050" w:name="_Toc358621891"/>
      <w:bookmarkStart w:id="2051" w:name="_Toc358622868"/>
      <w:bookmarkStart w:id="2052" w:name="_Toc26357157"/>
      <w:bookmarkStart w:id="2053" w:name="_Toc138664946"/>
      <w:r w:rsidRPr="00534D1E">
        <w:t>Canales de distribución</w:t>
      </w:r>
      <w:bookmarkEnd w:id="2046"/>
      <w:bookmarkEnd w:id="2047"/>
      <w:bookmarkEnd w:id="2048"/>
      <w:bookmarkEnd w:id="2049"/>
      <w:bookmarkEnd w:id="2050"/>
      <w:bookmarkEnd w:id="2051"/>
      <w:bookmarkEnd w:id="2052"/>
      <w:bookmarkEnd w:id="2053"/>
    </w:p>
    <w:p w14:paraId="51730D6F" w14:textId="77777777" w:rsidR="00A65F5F" w:rsidRPr="00534D1E" w:rsidRDefault="00A65F5F" w:rsidP="00A65F5F">
      <w:pPr>
        <w:pStyle w:val="Prrafodelista"/>
        <w:ind w:left="-567" w:right="-25"/>
      </w:pPr>
    </w:p>
    <w:p w14:paraId="45D729C7" w14:textId="77777777" w:rsidR="00A65F5F" w:rsidRPr="00534D1E" w:rsidRDefault="00A65F5F" w:rsidP="00A65F5F">
      <w:pPr>
        <w:pStyle w:val="Prrafodelista"/>
        <w:ind w:left="-567" w:right="-25"/>
      </w:pPr>
      <w:r w:rsidRPr="00534D1E">
        <w:t>El ICE distribuye la energía que produce a través de las siguientes empresas distribuidoras:</w:t>
      </w:r>
    </w:p>
    <w:p w14:paraId="6A6A8897" w14:textId="77777777" w:rsidR="00A65F5F" w:rsidRPr="00534D1E" w:rsidRDefault="00A65F5F" w:rsidP="00A65F5F">
      <w:pPr>
        <w:pStyle w:val="Prrafodelista"/>
        <w:ind w:left="-567" w:right="-25"/>
      </w:pPr>
    </w:p>
    <w:p w14:paraId="1406E5C5" w14:textId="77777777" w:rsidR="00A65F5F" w:rsidRPr="00C0239D" w:rsidRDefault="00A65F5F" w:rsidP="00A65F5F">
      <w:pPr>
        <w:pStyle w:val="Prrafodelista"/>
        <w:numPr>
          <w:ilvl w:val="0"/>
          <w:numId w:val="9"/>
        </w:numPr>
        <w:ind w:right="-25"/>
      </w:pPr>
      <w:r w:rsidRPr="00C0239D">
        <w:t>Compañía Nacional de Fuerza y Luz, S.A. (CNFL)</w:t>
      </w:r>
    </w:p>
    <w:p w14:paraId="67A97308" w14:textId="77777777" w:rsidR="00A65F5F" w:rsidRPr="00C0239D" w:rsidRDefault="00A65F5F" w:rsidP="00A65F5F">
      <w:pPr>
        <w:pStyle w:val="Prrafodelista"/>
        <w:numPr>
          <w:ilvl w:val="0"/>
          <w:numId w:val="9"/>
        </w:numPr>
        <w:ind w:right="-25"/>
      </w:pPr>
      <w:r w:rsidRPr="00C0239D">
        <w:t>Cooperativa de Electrificación Rural de Alfaro Ruiz.</w:t>
      </w:r>
    </w:p>
    <w:p w14:paraId="6AAEEA26" w14:textId="77777777" w:rsidR="00A65F5F" w:rsidRPr="00C0239D" w:rsidRDefault="00A65F5F" w:rsidP="00A65F5F">
      <w:pPr>
        <w:pStyle w:val="Prrafodelista"/>
        <w:numPr>
          <w:ilvl w:val="0"/>
          <w:numId w:val="9"/>
        </w:numPr>
        <w:ind w:right="-25"/>
      </w:pPr>
      <w:r w:rsidRPr="00C0239D">
        <w:t>Cooperativa de Electrificación Rural de Guanacaste</w:t>
      </w:r>
    </w:p>
    <w:p w14:paraId="53599164" w14:textId="77777777" w:rsidR="00A65F5F" w:rsidRPr="00C0239D" w:rsidRDefault="00A65F5F" w:rsidP="00A65F5F">
      <w:pPr>
        <w:pStyle w:val="Prrafodelista"/>
        <w:numPr>
          <w:ilvl w:val="0"/>
          <w:numId w:val="9"/>
        </w:numPr>
        <w:ind w:right="-25"/>
      </w:pPr>
      <w:r w:rsidRPr="00C0239D">
        <w:t>Cooperativa de Electrificación Rural de los Santos</w:t>
      </w:r>
    </w:p>
    <w:p w14:paraId="2E2B7E26" w14:textId="77777777" w:rsidR="00A65F5F" w:rsidRPr="00C0239D" w:rsidRDefault="00A65F5F" w:rsidP="00A65F5F">
      <w:pPr>
        <w:pStyle w:val="Prrafodelista"/>
        <w:numPr>
          <w:ilvl w:val="0"/>
          <w:numId w:val="9"/>
        </w:numPr>
        <w:ind w:right="-25"/>
      </w:pPr>
      <w:r w:rsidRPr="00C0239D">
        <w:t>Empresa de Servicios Públicos de Heredia (ESPH)</w:t>
      </w:r>
    </w:p>
    <w:p w14:paraId="559342F5" w14:textId="77777777" w:rsidR="00A65F5F" w:rsidRPr="00C0239D" w:rsidRDefault="00A65F5F" w:rsidP="00A65F5F">
      <w:pPr>
        <w:pStyle w:val="Prrafodelista"/>
        <w:numPr>
          <w:ilvl w:val="0"/>
          <w:numId w:val="9"/>
        </w:numPr>
        <w:ind w:right="-25"/>
      </w:pPr>
      <w:r w:rsidRPr="00C0239D">
        <w:t>Junta de Administración de Servicio Eléctrico de Cartago (JASEC)</w:t>
      </w:r>
    </w:p>
    <w:p w14:paraId="0D7C91F7" w14:textId="207F61E0" w:rsidR="00A65F5F" w:rsidRDefault="00722545" w:rsidP="00A65F5F">
      <w:pPr>
        <w:pStyle w:val="Prrafodelista"/>
        <w:numPr>
          <w:ilvl w:val="0"/>
          <w:numId w:val="9"/>
        </w:numPr>
        <w:ind w:right="-25"/>
      </w:pPr>
      <w:r>
        <w:t>Cooperativa de Electrificación Rural de San Carlos (COOPELESCA).</w:t>
      </w:r>
    </w:p>
    <w:p w14:paraId="563E33B6" w14:textId="77777777" w:rsidR="00722545" w:rsidRDefault="00722545" w:rsidP="0043767A">
      <w:pPr>
        <w:ind w:left="-207"/>
        <w:rPr>
          <w:rFonts w:ascii="Arial" w:hAnsi="Arial" w:cs="Arial"/>
          <w:color w:val="000000"/>
        </w:rPr>
      </w:pPr>
    </w:p>
    <w:p w14:paraId="7DE422F3" w14:textId="77777777" w:rsidR="00722545" w:rsidRPr="00C0239D" w:rsidRDefault="00722545" w:rsidP="0043767A">
      <w:pPr>
        <w:pStyle w:val="Prrafodelista"/>
        <w:ind w:left="153" w:right="-25"/>
      </w:pPr>
    </w:p>
    <w:p w14:paraId="7EF865DA" w14:textId="77777777" w:rsidR="00A65F5F" w:rsidRPr="00534D1E" w:rsidRDefault="00A65F5F" w:rsidP="00A65F5F">
      <w:pPr>
        <w:pStyle w:val="Prrafodelista"/>
        <w:ind w:left="-567" w:right="-25"/>
      </w:pPr>
    </w:p>
    <w:p w14:paraId="1A685415" w14:textId="77777777" w:rsidR="00A65F5F" w:rsidRPr="00E74161" w:rsidRDefault="00A65F5F" w:rsidP="00A65F5F">
      <w:pPr>
        <w:pStyle w:val="Prrafodelista"/>
        <w:ind w:left="-567" w:right="-25"/>
      </w:pPr>
      <w:r w:rsidRPr="00E74161">
        <w:t xml:space="preserve">Los servicios relacionados al área de telecomunicaciones los distribuye o presta mediante la red conformada </w:t>
      </w:r>
      <w:r w:rsidRPr="003F1732">
        <w:t>por las agencias del</w:t>
      </w:r>
      <w:r w:rsidRPr="00E74161">
        <w:t xml:space="preserve"> ICE que se ubican en diferentes regiones del país.</w:t>
      </w:r>
    </w:p>
    <w:p w14:paraId="2F6E7515" w14:textId="77777777" w:rsidR="00A65F5F" w:rsidRPr="00E74161" w:rsidRDefault="00A65F5F" w:rsidP="00A65F5F">
      <w:pPr>
        <w:ind w:left="-180" w:right="-25"/>
      </w:pPr>
    </w:p>
    <w:p w14:paraId="3B8E7D19" w14:textId="77777777" w:rsidR="00A65F5F" w:rsidRPr="00E74161" w:rsidRDefault="00A65F5F" w:rsidP="00EF0D70">
      <w:pPr>
        <w:pStyle w:val="Ttulo3"/>
        <w:numPr>
          <w:ilvl w:val="0"/>
          <w:numId w:val="48"/>
        </w:numPr>
        <w:ind w:left="-567" w:firstLine="0"/>
      </w:pPr>
      <w:bookmarkStart w:id="2054" w:name="_Toc304737222"/>
      <w:bookmarkStart w:id="2055" w:name="_Toc343676057"/>
      <w:bookmarkStart w:id="2056" w:name="_Toc358619420"/>
      <w:bookmarkStart w:id="2057" w:name="_Toc358620685"/>
      <w:bookmarkStart w:id="2058" w:name="_Toc358621892"/>
      <w:bookmarkStart w:id="2059" w:name="_Toc358622869"/>
      <w:bookmarkStart w:id="2060" w:name="_Toc26357158"/>
      <w:bookmarkStart w:id="2061" w:name="_Toc138664947"/>
      <w:r w:rsidRPr="00E74161">
        <w:t>Características del mercado meta</w:t>
      </w:r>
      <w:bookmarkEnd w:id="2054"/>
      <w:bookmarkEnd w:id="2055"/>
      <w:bookmarkEnd w:id="2056"/>
      <w:bookmarkEnd w:id="2057"/>
      <w:bookmarkEnd w:id="2058"/>
      <w:bookmarkEnd w:id="2059"/>
      <w:bookmarkEnd w:id="2060"/>
      <w:bookmarkEnd w:id="2061"/>
    </w:p>
    <w:p w14:paraId="6461F315" w14:textId="77777777" w:rsidR="00A65F5F" w:rsidRPr="00E74161" w:rsidRDefault="00A65F5F" w:rsidP="00A65F5F">
      <w:pPr>
        <w:ind w:left="-540" w:right="-25"/>
      </w:pPr>
    </w:p>
    <w:p w14:paraId="1CB76604" w14:textId="77777777" w:rsidR="00A65F5F" w:rsidRDefault="00A65F5F" w:rsidP="00A65F5F">
      <w:pPr>
        <w:ind w:left="-540" w:right="-25"/>
      </w:pPr>
      <w:r w:rsidRPr="00E74161">
        <w:t>Toda la información que a continuación se detalla, ha sido recopilada por distintas áreas y departamentos técnicos</w:t>
      </w:r>
      <w:r>
        <w:t xml:space="preserve"> del Instituto Costarricense de Electricidad.</w:t>
      </w:r>
    </w:p>
    <w:p w14:paraId="42D164D2" w14:textId="77777777" w:rsidR="007F5B04" w:rsidRDefault="007F5B04" w:rsidP="00A65F5F">
      <w:pPr>
        <w:ind w:left="-540" w:right="-25"/>
        <w:rPr>
          <w:b/>
        </w:rPr>
      </w:pPr>
    </w:p>
    <w:p w14:paraId="76159D0F" w14:textId="77777777" w:rsidR="00A65F5F" w:rsidRPr="008253E5" w:rsidRDefault="00A65F5F" w:rsidP="00A65F5F">
      <w:pPr>
        <w:ind w:left="-540" w:right="-25"/>
        <w:rPr>
          <w:b/>
        </w:rPr>
      </w:pPr>
      <w:r>
        <w:rPr>
          <w:b/>
        </w:rPr>
        <w:t>Sector Electricidad</w:t>
      </w:r>
    </w:p>
    <w:p w14:paraId="3637414F" w14:textId="77777777" w:rsidR="00A65F5F" w:rsidRDefault="00A65F5F" w:rsidP="00A65F5F">
      <w:pPr>
        <w:ind w:left="-540" w:right="-25"/>
      </w:pPr>
    </w:p>
    <w:p w14:paraId="00D14D18" w14:textId="77777777" w:rsidR="00A65F5F" w:rsidRPr="005D44D0" w:rsidRDefault="00A65F5F" w:rsidP="00A65F5F">
      <w:pPr>
        <w:ind w:left="-540" w:right="-25"/>
      </w:pPr>
      <w:r>
        <w:t xml:space="preserve">Este sector se dedica a la producción, transmisión y venta de energía eléctrica fundamentalmente en el territorio nacional.  Prácticamente la totalidad de la energía eléctrica que produce es para satisfacer la demanda interna de electricidad de los residentes en territorio costarricense y debido a la ley que crea el instituto prácticamente no tiene competencia en este sector.  Otras leyes han establecido la posibilidad de que existan cogeneradores de electricidad limitada que le deben vender la totalidad de su producción al ICE.  También existen entidades que distribuyen electricidad como los son algunas cooperativas de generación eléctrica y entidades municipales.  </w:t>
      </w:r>
    </w:p>
    <w:p w14:paraId="78873994" w14:textId="77777777" w:rsidR="00A65F5F" w:rsidRDefault="00A65F5F" w:rsidP="00A65F5F">
      <w:pPr>
        <w:ind w:left="-540" w:right="-25"/>
      </w:pPr>
    </w:p>
    <w:p w14:paraId="76B8D4E1" w14:textId="16F1304A" w:rsidR="00A65F5F" w:rsidRDefault="00A65F5F" w:rsidP="00A65F5F">
      <w:pPr>
        <w:ind w:left="-540" w:right="-25"/>
      </w:pPr>
      <w:r w:rsidRPr="00B318A5">
        <w:t>A continuación</w:t>
      </w:r>
      <w:r w:rsidR="007F5B04">
        <w:t>,</w:t>
      </w:r>
      <w:r w:rsidRPr="00B318A5">
        <w:t xml:space="preserve"> se detalla los cogeneradores de electricidad, al cierre del 20</w:t>
      </w:r>
      <w:r w:rsidR="004D47DD">
        <w:t>2</w:t>
      </w:r>
      <w:r w:rsidR="00242278">
        <w:t>2</w:t>
      </w:r>
      <w:r w:rsidRPr="00B318A5">
        <w:t>:</w:t>
      </w:r>
    </w:p>
    <w:p w14:paraId="501BF74E" w14:textId="77777777" w:rsidR="00BA08EC" w:rsidRDefault="00BA08EC" w:rsidP="00A65F5F">
      <w:pPr>
        <w:ind w:left="-540" w:right="-25"/>
      </w:pPr>
    </w:p>
    <w:tbl>
      <w:tblPr>
        <w:tblW w:w="3940" w:type="dxa"/>
        <w:tblCellMar>
          <w:left w:w="70" w:type="dxa"/>
          <w:right w:w="70" w:type="dxa"/>
        </w:tblCellMar>
        <w:tblLook w:val="04A0" w:firstRow="1" w:lastRow="0" w:firstColumn="1" w:lastColumn="0" w:noHBand="0" w:noVBand="1"/>
      </w:tblPr>
      <w:tblGrid>
        <w:gridCol w:w="3940"/>
      </w:tblGrid>
      <w:tr w:rsidR="00242278" w:rsidRPr="00242278" w14:paraId="7DBC3396" w14:textId="77777777" w:rsidTr="00242278">
        <w:trPr>
          <w:trHeight w:val="290"/>
        </w:trPr>
        <w:tc>
          <w:tcPr>
            <w:tcW w:w="3940" w:type="dxa"/>
            <w:tcBorders>
              <w:top w:val="nil"/>
              <w:left w:val="nil"/>
              <w:bottom w:val="nil"/>
              <w:right w:val="nil"/>
            </w:tcBorders>
            <w:shd w:val="clear" w:color="auto" w:fill="auto"/>
            <w:noWrap/>
            <w:vAlign w:val="center"/>
            <w:hideMark/>
          </w:tcPr>
          <w:p w14:paraId="281D0E59" w14:textId="77777777" w:rsidR="00242278" w:rsidRPr="00242278" w:rsidRDefault="00242278" w:rsidP="00242278">
            <w:pPr>
              <w:ind w:right="0"/>
              <w:jc w:val="left"/>
              <w:rPr>
                <w:color w:val="000000"/>
                <w:lang w:val="es-419" w:eastAsia="es-419"/>
              </w:rPr>
            </w:pPr>
            <w:r w:rsidRPr="00242278">
              <w:rPr>
                <w:color w:val="000000"/>
                <w:lang w:val="es-419" w:eastAsia="es-419"/>
              </w:rPr>
              <w:t>Consorcio Eólico Chiripa S.A.</w:t>
            </w:r>
          </w:p>
        </w:tc>
      </w:tr>
      <w:tr w:rsidR="00242278" w:rsidRPr="00242278" w14:paraId="71138CAF" w14:textId="77777777" w:rsidTr="00242278">
        <w:trPr>
          <w:trHeight w:val="290"/>
        </w:trPr>
        <w:tc>
          <w:tcPr>
            <w:tcW w:w="3940" w:type="dxa"/>
            <w:tcBorders>
              <w:top w:val="nil"/>
              <w:left w:val="nil"/>
              <w:bottom w:val="nil"/>
              <w:right w:val="nil"/>
            </w:tcBorders>
            <w:shd w:val="clear" w:color="auto" w:fill="auto"/>
            <w:noWrap/>
            <w:vAlign w:val="center"/>
            <w:hideMark/>
          </w:tcPr>
          <w:p w14:paraId="3813F7BB"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73817D0A" w14:textId="77777777" w:rsidTr="00242278">
        <w:trPr>
          <w:trHeight w:val="290"/>
        </w:trPr>
        <w:tc>
          <w:tcPr>
            <w:tcW w:w="3940" w:type="dxa"/>
            <w:tcBorders>
              <w:top w:val="nil"/>
              <w:left w:val="nil"/>
              <w:bottom w:val="nil"/>
              <w:right w:val="nil"/>
            </w:tcBorders>
            <w:shd w:val="clear" w:color="auto" w:fill="auto"/>
            <w:noWrap/>
            <w:vAlign w:val="center"/>
            <w:hideMark/>
          </w:tcPr>
          <w:p w14:paraId="160907EB"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1EC9FEE9" w14:textId="77777777" w:rsidTr="00242278">
        <w:trPr>
          <w:trHeight w:val="290"/>
        </w:trPr>
        <w:tc>
          <w:tcPr>
            <w:tcW w:w="3940" w:type="dxa"/>
            <w:tcBorders>
              <w:top w:val="nil"/>
              <w:left w:val="nil"/>
              <w:bottom w:val="nil"/>
              <w:right w:val="nil"/>
            </w:tcBorders>
            <w:shd w:val="clear" w:color="auto" w:fill="auto"/>
            <w:noWrap/>
            <w:vAlign w:val="center"/>
            <w:hideMark/>
          </w:tcPr>
          <w:p w14:paraId="49A6CB17" w14:textId="77777777" w:rsidR="00242278" w:rsidRPr="00242278" w:rsidRDefault="00242278" w:rsidP="00242278">
            <w:pPr>
              <w:ind w:right="0"/>
              <w:jc w:val="left"/>
              <w:rPr>
                <w:color w:val="000000"/>
                <w:lang w:val="es-419" w:eastAsia="es-419"/>
              </w:rPr>
            </w:pPr>
            <w:r w:rsidRPr="00242278">
              <w:rPr>
                <w:color w:val="000000"/>
                <w:lang w:val="es-419" w:eastAsia="es-419"/>
              </w:rPr>
              <w:t>Aeroenergía S.A.</w:t>
            </w:r>
          </w:p>
        </w:tc>
      </w:tr>
      <w:tr w:rsidR="00242278" w:rsidRPr="00242278" w14:paraId="5BED6B10" w14:textId="77777777" w:rsidTr="00242278">
        <w:trPr>
          <w:trHeight w:val="290"/>
        </w:trPr>
        <w:tc>
          <w:tcPr>
            <w:tcW w:w="3940" w:type="dxa"/>
            <w:tcBorders>
              <w:top w:val="nil"/>
              <w:left w:val="nil"/>
              <w:bottom w:val="nil"/>
              <w:right w:val="nil"/>
            </w:tcBorders>
            <w:shd w:val="clear" w:color="auto" w:fill="auto"/>
            <w:noWrap/>
            <w:vAlign w:val="center"/>
            <w:hideMark/>
          </w:tcPr>
          <w:p w14:paraId="4644E40C" w14:textId="77777777" w:rsidR="00242278" w:rsidRPr="00242278" w:rsidRDefault="00242278" w:rsidP="00242278">
            <w:pPr>
              <w:ind w:right="0"/>
              <w:jc w:val="left"/>
              <w:rPr>
                <w:color w:val="000000"/>
                <w:lang w:val="es-419" w:eastAsia="es-419"/>
              </w:rPr>
            </w:pPr>
            <w:r w:rsidRPr="00242278">
              <w:rPr>
                <w:color w:val="000000"/>
                <w:lang w:val="es-419" w:eastAsia="es-419"/>
              </w:rPr>
              <w:t>Aeroenergía S.A.</w:t>
            </w:r>
          </w:p>
        </w:tc>
      </w:tr>
      <w:tr w:rsidR="00242278" w:rsidRPr="00242278" w14:paraId="7DFE9800" w14:textId="77777777" w:rsidTr="00242278">
        <w:trPr>
          <w:trHeight w:val="290"/>
        </w:trPr>
        <w:tc>
          <w:tcPr>
            <w:tcW w:w="3940" w:type="dxa"/>
            <w:tcBorders>
              <w:top w:val="nil"/>
              <w:left w:val="nil"/>
              <w:bottom w:val="nil"/>
              <w:right w:val="nil"/>
            </w:tcBorders>
            <w:shd w:val="clear" w:color="auto" w:fill="auto"/>
            <w:noWrap/>
            <w:vAlign w:val="center"/>
            <w:hideMark/>
          </w:tcPr>
          <w:p w14:paraId="3E312253" w14:textId="77777777" w:rsidR="00242278" w:rsidRPr="00242278" w:rsidRDefault="00242278" w:rsidP="00242278">
            <w:pPr>
              <w:ind w:right="0"/>
              <w:jc w:val="left"/>
              <w:rPr>
                <w:color w:val="000000"/>
                <w:lang w:val="es-419" w:eastAsia="es-419"/>
              </w:rPr>
            </w:pPr>
            <w:r w:rsidRPr="00242278">
              <w:rPr>
                <w:color w:val="000000"/>
                <w:lang w:val="es-419" w:eastAsia="es-419"/>
              </w:rPr>
              <w:t>Molinos de Viento del Arenal S.A.</w:t>
            </w:r>
          </w:p>
        </w:tc>
      </w:tr>
      <w:tr w:rsidR="00242278" w:rsidRPr="00242278" w14:paraId="2655A6F3" w14:textId="77777777" w:rsidTr="00242278">
        <w:trPr>
          <w:trHeight w:val="290"/>
        </w:trPr>
        <w:tc>
          <w:tcPr>
            <w:tcW w:w="3940" w:type="dxa"/>
            <w:tcBorders>
              <w:top w:val="nil"/>
              <w:left w:val="nil"/>
              <w:bottom w:val="nil"/>
              <w:right w:val="nil"/>
            </w:tcBorders>
            <w:shd w:val="clear" w:color="auto" w:fill="auto"/>
            <w:noWrap/>
            <w:vAlign w:val="center"/>
            <w:hideMark/>
          </w:tcPr>
          <w:p w14:paraId="2B1A2DA4" w14:textId="77777777" w:rsidR="00242278" w:rsidRPr="00242278" w:rsidRDefault="00242278" w:rsidP="00242278">
            <w:pPr>
              <w:ind w:right="0"/>
              <w:jc w:val="left"/>
              <w:rPr>
                <w:color w:val="000000"/>
                <w:lang w:val="es-419" w:eastAsia="es-419"/>
              </w:rPr>
            </w:pPr>
            <w:r w:rsidRPr="00242278">
              <w:rPr>
                <w:color w:val="000000"/>
                <w:lang w:val="es-419" w:eastAsia="es-419"/>
              </w:rPr>
              <w:t>El Ángel S.A.</w:t>
            </w:r>
          </w:p>
        </w:tc>
      </w:tr>
      <w:tr w:rsidR="00242278" w:rsidRPr="00242278" w14:paraId="77F99BCE" w14:textId="77777777" w:rsidTr="00242278">
        <w:trPr>
          <w:trHeight w:val="290"/>
        </w:trPr>
        <w:tc>
          <w:tcPr>
            <w:tcW w:w="3940" w:type="dxa"/>
            <w:tcBorders>
              <w:top w:val="nil"/>
              <w:left w:val="nil"/>
              <w:bottom w:val="nil"/>
              <w:right w:val="nil"/>
            </w:tcBorders>
            <w:shd w:val="clear" w:color="auto" w:fill="auto"/>
            <w:noWrap/>
            <w:vAlign w:val="center"/>
            <w:hideMark/>
          </w:tcPr>
          <w:p w14:paraId="3EF27EDC" w14:textId="77777777" w:rsidR="00242278" w:rsidRPr="00242278" w:rsidRDefault="00242278" w:rsidP="00242278">
            <w:pPr>
              <w:ind w:right="0"/>
              <w:jc w:val="left"/>
              <w:rPr>
                <w:color w:val="000000"/>
                <w:lang w:val="es-419" w:eastAsia="es-419"/>
              </w:rPr>
            </w:pPr>
            <w:r w:rsidRPr="00242278">
              <w:rPr>
                <w:color w:val="000000"/>
                <w:lang w:val="es-419" w:eastAsia="es-419"/>
              </w:rPr>
              <w:t>PH Chucas S.A.</w:t>
            </w:r>
          </w:p>
        </w:tc>
      </w:tr>
      <w:tr w:rsidR="00242278" w:rsidRPr="00242278" w14:paraId="1A2F0214" w14:textId="77777777" w:rsidTr="00242278">
        <w:trPr>
          <w:trHeight w:val="290"/>
        </w:trPr>
        <w:tc>
          <w:tcPr>
            <w:tcW w:w="3940" w:type="dxa"/>
            <w:tcBorders>
              <w:top w:val="nil"/>
              <w:left w:val="nil"/>
              <w:bottom w:val="nil"/>
              <w:right w:val="nil"/>
            </w:tcBorders>
            <w:shd w:val="clear" w:color="auto" w:fill="auto"/>
            <w:noWrap/>
            <w:vAlign w:val="center"/>
            <w:hideMark/>
          </w:tcPr>
          <w:p w14:paraId="3DDB1E87" w14:textId="77777777" w:rsidR="00242278" w:rsidRPr="00242278" w:rsidRDefault="00242278" w:rsidP="00242278">
            <w:pPr>
              <w:ind w:right="0"/>
              <w:jc w:val="left"/>
              <w:rPr>
                <w:color w:val="000000"/>
                <w:lang w:val="es-419" w:eastAsia="es-419"/>
              </w:rPr>
            </w:pPr>
            <w:r w:rsidRPr="00242278">
              <w:rPr>
                <w:color w:val="000000"/>
                <w:lang w:val="es-419" w:eastAsia="es-419"/>
              </w:rPr>
              <w:t>PH Chucas S.A.</w:t>
            </w:r>
          </w:p>
        </w:tc>
      </w:tr>
      <w:tr w:rsidR="00242278" w:rsidRPr="00242278" w14:paraId="06F617D4" w14:textId="77777777" w:rsidTr="00242278">
        <w:trPr>
          <w:trHeight w:val="290"/>
        </w:trPr>
        <w:tc>
          <w:tcPr>
            <w:tcW w:w="3940" w:type="dxa"/>
            <w:tcBorders>
              <w:top w:val="nil"/>
              <w:left w:val="nil"/>
              <w:bottom w:val="nil"/>
              <w:right w:val="nil"/>
            </w:tcBorders>
            <w:shd w:val="clear" w:color="auto" w:fill="auto"/>
            <w:noWrap/>
            <w:vAlign w:val="center"/>
            <w:hideMark/>
          </w:tcPr>
          <w:p w14:paraId="186F755C" w14:textId="77777777" w:rsidR="00242278" w:rsidRPr="00242278" w:rsidRDefault="00242278" w:rsidP="00242278">
            <w:pPr>
              <w:ind w:right="0"/>
              <w:jc w:val="left"/>
              <w:rPr>
                <w:color w:val="000000"/>
                <w:lang w:val="es-419" w:eastAsia="es-419"/>
              </w:rPr>
            </w:pPr>
            <w:r w:rsidRPr="00242278">
              <w:rPr>
                <w:color w:val="000000"/>
                <w:lang w:val="es-419" w:eastAsia="es-419"/>
              </w:rPr>
              <w:t>Inversiones Eólicas de Guanacaste S.A.</w:t>
            </w:r>
          </w:p>
        </w:tc>
      </w:tr>
      <w:tr w:rsidR="00242278" w:rsidRPr="00242278" w14:paraId="6130D2A1" w14:textId="77777777" w:rsidTr="00242278">
        <w:trPr>
          <w:trHeight w:val="290"/>
        </w:trPr>
        <w:tc>
          <w:tcPr>
            <w:tcW w:w="3940" w:type="dxa"/>
            <w:tcBorders>
              <w:top w:val="nil"/>
              <w:left w:val="nil"/>
              <w:bottom w:val="nil"/>
              <w:right w:val="nil"/>
            </w:tcBorders>
            <w:shd w:val="clear" w:color="auto" w:fill="auto"/>
            <w:noWrap/>
            <w:vAlign w:val="center"/>
            <w:hideMark/>
          </w:tcPr>
          <w:p w14:paraId="29FCC57B" w14:textId="77777777" w:rsidR="00242278" w:rsidRPr="00242278" w:rsidRDefault="00242278" w:rsidP="00242278">
            <w:pPr>
              <w:ind w:right="0"/>
              <w:jc w:val="left"/>
              <w:rPr>
                <w:color w:val="000000"/>
                <w:lang w:val="es-419" w:eastAsia="es-419"/>
              </w:rPr>
            </w:pPr>
            <w:r w:rsidRPr="00242278">
              <w:rPr>
                <w:color w:val="000000"/>
                <w:lang w:val="es-419" w:eastAsia="es-419"/>
              </w:rPr>
              <w:t>Planta Eléctrica Tapezco Ltda.</w:t>
            </w:r>
          </w:p>
        </w:tc>
      </w:tr>
      <w:tr w:rsidR="00242278" w:rsidRPr="00242278" w14:paraId="7D733724" w14:textId="77777777" w:rsidTr="00242278">
        <w:trPr>
          <w:trHeight w:val="290"/>
        </w:trPr>
        <w:tc>
          <w:tcPr>
            <w:tcW w:w="3940" w:type="dxa"/>
            <w:tcBorders>
              <w:top w:val="nil"/>
              <w:left w:val="nil"/>
              <w:bottom w:val="nil"/>
              <w:right w:val="nil"/>
            </w:tcBorders>
            <w:shd w:val="clear" w:color="auto" w:fill="auto"/>
            <w:noWrap/>
            <w:vAlign w:val="center"/>
            <w:hideMark/>
          </w:tcPr>
          <w:p w14:paraId="290D4740" w14:textId="77777777" w:rsidR="00242278" w:rsidRPr="00242278" w:rsidRDefault="00242278" w:rsidP="00242278">
            <w:pPr>
              <w:ind w:right="0"/>
              <w:jc w:val="left"/>
              <w:rPr>
                <w:color w:val="000000"/>
                <w:lang w:val="es-419" w:eastAsia="es-419"/>
              </w:rPr>
            </w:pPr>
            <w:r w:rsidRPr="00242278">
              <w:rPr>
                <w:color w:val="000000"/>
                <w:lang w:val="es-419" w:eastAsia="es-419"/>
              </w:rPr>
              <w:t>Empresa Eléctrica Matamoros S.A.</w:t>
            </w:r>
          </w:p>
        </w:tc>
      </w:tr>
      <w:tr w:rsidR="00242278" w:rsidRPr="00242278" w14:paraId="42AD6926" w14:textId="77777777" w:rsidTr="00242278">
        <w:trPr>
          <w:trHeight w:val="290"/>
        </w:trPr>
        <w:tc>
          <w:tcPr>
            <w:tcW w:w="3940" w:type="dxa"/>
            <w:tcBorders>
              <w:top w:val="nil"/>
              <w:left w:val="nil"/>
              <w:bottom w:val="nil"/>
              <w:right w:val="nil"/>
            </w:tcBorders>
            <w:shd w:val="clear" w:color="auto" w:fill="auto"/>
            <w:noWrap/>
            <w:vAlign w:val="center"/>
            <w:hideMark/>
          </w:tcPr>
          <w:p w14:paraId="48175890" w14:textId="77777777" w:rsidR="00242278" w:rsidRPr="00242278" w:rsidRDefault="00242278" w:rsidP="00242278">
            <w:pPr>
              <w:ind w:right="0"/>
              <w:jc w:val="left"/>
              <w:rPr>
                <w:color w:val="000000"/>
                <w:lang w:val="es-419" w:eastAsia="es-419"/>
              </w:rPr>
            </w:pPr>
            <w:r w:rsidRPr="00242278">
              <w:rPr>
                <w:color w:val="000000"/>
                <w:lang w:val="es-419" w:eastAsia="es-419"/>
              </w:rPr>
              <w:t>Planta Eólica Guanacaste S.A.</w:t>
            </w:r>
          </w:p>
        </w:tc>
      </w:tr>
      <w:tr w:rsidR="00242278" w:rsidRPr="00242278" w14:paraId="697E181F" w14:textId="77777777" w:rsidTr="00242278">
        <w:trPr>
          <w:trHeight w:val="290"/>
        </w:trPr>
        <w:tc>
          <w:tcPr>
            <w:tcW w:w="3940" w:type="dxa"/>
            <w:tcBorders>
              <w:top w:val="nil"/>
              <w:left w:val="nil"/>
              <w:bottom w:val="nil"/>
              <w:right w:val="nil"/>
            </w:tcBorders>
            <w:shd w:val="clear" w:color="auto" w:fill="auto"/>
            <w:noWrap/>
            <w:vAlign w:val="center"/>
            <w:hideMark/>
          </w:tcPr>
          <w:p w14:paraId="11A7B2AC" w14:textId="77777777" w:rsidR="00242278" w:rsidRPr="00242278" w:rsidRDefault="00242278" w:rsidP="00242278">
            <w:pPr>
              <w:ind w:right="0"/>
              <w:jc w:val="left"/>
              <w:rPr>
                <w:color w:val="000000"/>
                <w:lang w:val="es-419" w:eastAsia="es-419"/>
              </w:rPr>
            </w:pPr>
            <w:r w:rsidRPr="00242278">
              <w:rPr>
                <w:color w:val="000000"/>
                <w:lang w:val="es-419" w:eastAsia="es-419"/>
              </w:rPr>
              <w:t>Planta Eólica Guanacaste S.A.</w:t>
            </w:r>
          </w:p>
        </w:tc>
      </w:tr>
      <w:tr w:rsidR="00242278" w:rsidRPr="00242278" w14:paraId="5D800C4C" w14:textId="77777777" w:rsidTr="00242278">
        <w:trPr>
          <w:trHeight w:val="290"/>
        </w:trPr>
        <w:tc>
          <w:tcPr>
            <w:tcW w:w="3940" w:type="dxa"/>
            <w:tcBorders>
              <w:top w:val="nil"/>
              <w:left w:val="nil"/>
              <w:bottom w:val="nil"/>
              <w:right w:val="nil"/>
            </w:tcBorders>
            <w:shd w:val="clear" w:color="auto" w:fill="auto"/>
            <w:noWrap/>
            <w:vAlign w:val="center"/>
            <w:hideMark/>
          </w:tcPr>
          <w:p w14:paraId="25703A79" w14:textId="77777777" w:rsidR="00242278" w:rsidRPr="00242278" w:rsidRDefault="00242278" w:rsidP="00242278">
            <w:pPr>
              <w:ind w:right="0"/>
              <w:jc w:val="left"/>
              <w:rPr>
                <w:color w:val="000000"/>
                <w:lang w:val="es-419" w:eastAsia="es-419"/>
              </w:rPr>
            </w:pPr>
            <w:r w:rsidRPr="00242278">
              <w:rPr>
                <w:color w:val="000000"/>
                <w:lang w:val="es-419" w:eastAsia="es-419"/>
              </w:rPr>
              <w:t>Costa Rica Energy Holding S.A.</w:t>
            </w:r>
          </w:p>
        </w:tc>
      </w:tr>
      <w:tr w:rsidR="00242278" w:rsidRPr="00242278" w14:paraId="7342B83B" w14:textId="77777777" w:rsidTr="00242278">
        <w:trPr>
          <w:trHeight w:val="290"/>
        </w:trPr>
        <w:tc>
          <w:tcPr>
            <w:tcW w:w="3940" w:type="dxa"/>
            <w:tcBorders>
              <w:top w:val="nil"/>
              <w:left w:val="nil"/>
              <w:bottom w:val="nil"/>
              <w:right w:val="nil"/>
            </w:tcBorders>
            <w:shd w:val="clear" w:color="auto" w:fill="auto"/>
            <w:noWrap/>
            <w:vAlign w:val="center"/>
            <w:hideMark/>
          </w:tcPr>
          <w:p w14:paraId="14649F5F" w14:textId="77777777" w:rsidR="00242278" w:rsidRPr="00242278" w:rsidRDefault="00242278" w:rsidP="00242278">
            <w:pPr>
              <w:ind w:right="0"/>
              <w:jc w:val="left"/>
              <w:rPr>
                <w:color w:val="000000"/>
                <w:lang w:val="es-419" w:eastAsia="es-419"/>
              </w:rPr>
            </w:pPr>
            <w:r w:rsidRPr="00242278">
              <w:rPr>
                <w:color w:val="000000"/>
                <w:lang w:val="es-419" w:eastAsia="es-419"/>
              </w:rPr>
              <w:t>Suerkata S.R.L.</w:t>
            </w:r>
          </w:p>
        </w:tc>
      </w:tr>
      <w:tr w:rsidR="00242278" w:rsidRPr="00242278" w14:paraId="365BD2DE" w14:textId="77777777" w:rsidTr="00242278">
        <w:trPr>
          <w:trHeight w:val="290"/>
        </w:trPr>
        <w:tc>
          <w:tcPr>
            <w:tcW w:w="3940" w:type="dxa"/>
            <w:tcBorders>
              <w:top w:val="nil"/>
              <w:left w:val="nil"/>
              <w:bottom w:val="nil"/>
              <w:right w:val="nil"/>
            </w:tcBorders>
            <w:shd w:val="clear" w:color="auto" w:fill="auto"/>
            <w:noWrap/>
            <w:vAlign w:val="center"/>
            <w:hideMark/>
          </w:tcPr>
          <w:p w14:paraId="61A29C87" w14:textId="77777777" w:rsidR="00242278" w:rsidRPr="00242278" w:rsidRDefault="00242278" w:rsidP="00242278">
            <w:pPr>
              <w:ind w:right="0"/>
              <w:jc w:val="left"/>
              <w:rPr>
                <w:color w:val="000000"/>
                <w:lang w:val="es-419" w:eastAsia="es-419"/>
              </w:rPr>
            </w:pPr>
            <w:r w:rsidRPr="00242278">
              <w:rPr>
                <w:color w:val="000000"/>
                <w:lang w:val="es-419" w:eastAsia="es-419"/>
              </w:rPr>
              <w:t>Central Hidroeléctrica Vara Blanca S.A.</w:t>
            </w:r>
          </w:p>
        </w:tc>
      </w:tr>
      <w:tr w:rsidR="00242278" w:rsidRPr="00242278" w14:paraId="75E71E13" w14:textId="77777777" w:rsidTr="00242278">
        <w:trPr>
          <w:trHeight w:val="290"/>
        </w:trPr>
        <w:tc>
          <w:tcPr>
            <w:tcW w:w="3940" w:type="dxa"/>
            <w:tcBorders>
              <w:top w:val="nil"/>
              <w:left w:val="nil"/>
              <w:bottom w:val="nil"/>
              <w:right w:val="nil"/>
            </w:tcBorders>
            <w:shd w:val="clear" w:color="auto" w:fill="auto"/>
            <w:noWrap/>
            <w:vAlign w:val="center"/>
            <w:hideMark/>
          </w:tcPr>
          <w:p w14:paraId="7BB550BB" w14:textId="77777777" w:rsidR="00242278" w:rsidRPr="00242278" w:rsidRDefault="00242278" w:rsidP="00242278">
            <w:pPr>
              <w:ind w:right="0"/>
              <w:jc w:val="left"/>
              <w:rPr>
                <w:color w:val="000000"/>
                <w:lang w:val="es-419" w:eastAsia="es-419"/>
              </w:rPr>
            </w:pPr>
            <w:r w:rsidRPr="00242278">
              <w:rPr>
                <w:color w:val="000000"/>
                <w:lang w:val="es-419" w:eastAsia="es-419"/>
              </w:rPr>
              <w:t>Vientos del Volcán S.A.</w:t>
            </w:r>
          </w:p>
        </w:tc>
      </w:tr>
      <w:tr w:rsidR="00242278" w:rsidRPr="00242278" w14:paraId="5FE47DB5" w14:textId="77777777" w:rsidTr="00242278">
        <w:trPr>
          <w:trHeight w:val="290"/>
        </w:trPr>
        <w:tc>
          <w:tcPr>
            <w:tcW w:w="3940" w:type="dxa"/>
            <w:tcBorders>
              <w:top w:val="nil"/>
              <w:left w:val="nil"/>
              <w:bottom w:val="nil"/>
              <w:right w:val="nil"/>
            </w:tcBorders>
            <w:shd w:val="clear" w:color="auto" w:fill="auto"/>
            <w:noWrap/>
            <w:vAlign w:val="center"/>
            <w:hideMark/>
          </w:tcPr>
          <w:p w14:paraId="3E79C0C1" w14:textId="77777777" w:rsidR="00242278" w:rsidRPr="00242278" w:rsidRDefault="00242278" w:rsidP="00242278">
            <w:pPr>
              <w:ind w:right="0"/>
              <w:jc w:val="left"/>
              <w:rPr>
                <w:color w:val="000000"/>
                <w:lang w:val="es-419" w:eastAsia="es-419"/>
              </w:rPr>
            </w:pPr>
            <w:r w:rsidRPr="00242278">
              <w:rPr>
                <w:color w:val="000000"/>
                <w:lang w:val="es-419" w:eastAsia="es-419"/>
              </w:rPr>
              <w:t>Inversiones Eólicas Campos Azules S.A.</w:t>
            </w:r>
          </w:p>
        </w:tc>
      </w:tr>
      <w:tr w:rsidR="00242278" w:rsidRPr="00242278" w14:paraId="29F15D7B" w14:textId="77777777" w:rsidTr="00242278">
        <w:trPr>
          <w:trHeight w:val="290"/>
        </w:trPr>
        <w:tc>
          <w:tcPr>
            <w:tcW w:w="3940" w:type="dxa"/>
            <w:tcBorders>
              <w:top w:val="nil"/>
              <w:left w:val="nil"/>
              <w:bottom w:val="nil"/>
              <w:right w:val="nil"/>
            </w:tcBorders>
            <w:shd w:val="clear" w:color="auto" w:fill="auto"/>
            <w:noWrap/>
            <w:vAlign w:val="center"/>
            <w:hideMark/>
          </w:tcPr>
          <w:p w14:paraId="5BB78189" w14:textId="77777777" w:rsidR="00242278" w:rsidRPr="00242278" w:rsidRDefault="00242278" w:rsidP="00242278">
            <w:pPr>
              <w:ind w:right="0"/>
              <w:jc w:val="left"/>
              <w:rPr>
                <w:color w:val="000000"/>
                <w:lang w:val="es-419" w:eastAsia="es-419"/>
              </w:rPr>
            </w:pPr>
            <w:r w:rsidRPr="00242278">
              <w:rPr>
                <w:color w:val="000000"/>
                <w:lang w:val="es-419" w:eastAsia="es-419"/>
              </w:rPr>
              <w:t>Hidroeléctrica Río Lajas S.A.</w:t>
            </w:r>
          </w:p>
        </w:tc>
      </w:tr>
      <w:tr w:rsidR="00242278" w:rsidRPr="00242278" w14:paraId="1B2E4C50" w14:textId="77777777" w:rsidTr="00242278">
        <w:trPr>
          <w:trHeight w:val="290"/>
        </w:trPr>
        <w:tc>
          <w:tcPr>
            <w:tcW w:w="3940" w:type="dxa"/>
            <w:tcBorders>
              <w:top w:val="nil"/>
              <w:left w:val="nil"/>
              <w:bottom w:val="nil"/>
              <w:right w:val="nil"/>
            </w:tcBorders>
            <w:shd w:val="clear" w:color="auto" w:fill="auto"/>
            <w:noWrap/>
            <w:vAlign w:val="center"/>
            <w:hideMark/>
          </w:tcPr>
          <w:p w14:paraId="2B9C0310" w14:textId="77777777" w:rsidR="00242278" w:rsidRPr="00242278" w:rsidRDefault="00242278" w:rsidP="00242278">
            <w:pPr>
              <w:ind w:right="0"/>
              <w:jc w:val="left"/>
              <w:rPr>
                <w:color w:val="000000"/>
                <w:lang w:val="es-419" w:eastAsia="es-419"/>
              </w:rPr>
            </w:pPr>
            <w:r w:rsidRPr="00242278">
              <w:rPr>
                <w:color w:val="000000"/>
                <w:lang w:val="es-419" w:eastAsia="es-419"/>
              </w:rPr>
              <w:t>Fila de Mogote DCR, S.R.L.</w:t>
            </w:r>
          </w:p>
        </w:tc>
      </w:tr>
      <w:tr w:rsidR="00242278" w:rsidRPr="00242278" w14:paraId="5AD3CC15" w14:textId="77777777" w:rsidTr="00242278">
        <w:trPr>
          <w:trHeight w:val="290"/>
        </w:trPr>
        <w:tc>
          <w:tcPr>
            <w:tcW w:w="3940" w:type="dxa"/>
            <w:tcBorders>
              <w:top w:val="nil"/>
              <w:left w:val="nil"/>
              <w:bottom w:val="nil"/>
              <w:right w:val="nil"/>
            </w:tcBorders>
            <w:shd w:val="clear" w:color="auto" w:fill="auto"/>
            <w:noWrap/>
            <w:vAlign w:val="bottom"/>
            <w:hideMark/>
          </w:tcPr>
          <w:p w14:paraId="5A32682F" w14:textId="77777777" w:rsidR="00242278" w:rsidRPr="00242278" w:rsidRDefault="00242278" w:rsidP="00242278">
            <w:pPr>
              <w:ind w:right="0"/>
              <w:jc w:val="left"/>
              <w:rPr>
                <w:color w:val="000000"/>
                <w:lang w:val="es-419" w:eastAsia="es-419"/>
              </w:rPr>
            </w:pPr>
            <w:r w:rsidRPr="00242278">
              <w:rPr>
                <w:color w:val="000000"/>
                <w:lang w:val="es-419" w:eastAsia="es-419"/>
              </w:rPr>
              <w:t>Tilawind Corporation S.A.</w:t>
            </w:r>
          </w:p>
        </w:tc>
      </w:tr>
      <w:tr w:rsidR="00242278" w:rsidRPr="00242278" w14:paraId="33B2251E" w14:textId="77777777" w:rsidTr="00242278">
        <w:trPr>
          <w:trHeight w:val="290"/>
        </w:trPr>
        <w:tc>
          <w:tcPr>
            <w:tcW w:w="3940" w:type="dxa"/>
            <w:tcBorders>
              <w:top w:val="nil"/>
              <w:left w:val="nil"/>
              <w:bottom w:val="nil"/>
              <w:right w:val="nil"/>
            </w:tcBorders>
            <w:shd w:val="clear" w:color="auto" w:fill="auto"/>
            <w:noWrap/>
            <w:vAlign w:val="center"/>
            <w:hideMark/>
          </w:tcPr>
          <w:p w14:paraId="0A4928E2" w14:textId="77777777" w:rsidR="00242278" w:rsidRPr="00242278" w:rsidRDefault="00242278" w:rsidP="00242278">
            <w:pPr>
              <w:ind w:right="0"/>
              <w:jc w:val="left"/>
              <w:rPr>
                <w:color w:val="000000"/>
                <w:lang w:val="es-419" w:eastAsia="es-419"/>
              </w:rPr>
            </w:pPr>
            <w:r w:rsidRPr="00242278">
              <w:rPr>
                <w:color w:val="000000"/>
                <w:lang w:val="es-419" w:eastAsia="es-419"/>
              </w:rPr>
              <w:t>Cía. Hidroeléctrica Doña Julia S.R.L.</w:t>
            </w:r>
          </w:p>
        </w:tc>
      </w:tr>
      <w:tr w:rsidR="00242278" w:rsidRPr="00242278" w14:paraId="3954993D" w14:textId="77777777" w:rsidTr="00242278">
        <w:trPr>
          <w:trHeight w:val="290"/>
        </w:trPr>
        <w:tc>
          <w:tcPr>
            <w:tcW w:w="3940" w:type="dxa"/>
            <w:tcBorders>
              <w:top w:val="nil"/>
              <w:left w:val="nil"/>
              <w:bottom w:val="nil"/>
              <w:right w:val="nil"/>
            </w:tcBorders>
            <w:shd w:val="clear" w:color="auto" w:fill="auto"/>
            <w:noWrap/>
            <w:vAlign w:val="center"/>
            <w:hideMark/>
          </w:tcPr>
          <w:p w14:paraId="5446C085" w14:textId="77777777" w:rsidR="00242278" w:rsidRPr="00242278" w:rsidRDefault="00242278" w:rsidP="00242278">
            <w:pPr>
              <w:ind w:right="0"/>
              <w:jc w:val="left"/>
              <w:rPr>
                <w:color w:val="000000"/>
                <w:lang w:val="es-419" w:eastAsia="es-419"/>
              </w:rPr>
            </w:pPr>
            <w:r w:rsidRPr="00242278">
              <w:rPr>
                <w:color w:val="000000"/>
                <w:lang w:val="es-419" w:eastAsia="es-419"/>
              </w:rPr>
              <w:t>Inversiones Eólicas de Orosí 2 S.A.</w:t>
            </w:r>
          </w:p>
        </w:tc>
      </w:tr>
      <w:tr w:rsidR="00242278" w:rsidRPr="00242278" w14:paraId="56474B5A" w14:textId="77777777" w:rsidTr="00242278">
        <w:trPr>
          <w:trHeight w:val="290"/>
        </w:trPr>
        <w:tc>
          <w:tcPr>
            <w:tcW w:w="3940" w:type="dxa"/>
            <w:tcBorders>
              <w:top w:val="nil"/>
              <w:left w:val="nil"/>
              <w:bottom w:val="nil"/>
              <w:right w:val="nil"/>
            </w:tcBorders>
            <w:shd w:val="clear" w:color="auto" w:fill="auto"/>
            <w:noWrap/>
            <w:vAlign w:val="bottom"/>
            <w:hideMark/>
          </w:tcPr>
          <w:p w14:paraId="7D879AB7" w14:textId="77777777" w:rsidR="00242278" w:rsidRPr="00242278" w:rsidRDefault="00242278" w:rsidP="00242278">
            <w:pPr>
              <w:ind w:right="0"/>
              <w:jc w:val="left"/>
              <w:rPr>
                <w:color w:val="000000"/>
                <w:lang w:val="es-419" w:eastAsia="es-419"/>
              </w:rPr>
            </w:pPr>
            <w:r w:rsidRPr="00242278">
              <w:rPr>
                <w:color w:val="000000"/>
                <w:lang w:val="es-419" w:eastAsia="es-419"/>
              </w:rPr>
              <w:t>Hidroeléctrica Caño Grande S.A.</w:t>
            </w:r>
          </w:p>
        </w:tc>
      </w:tr>
      <w:tr w:rsidR="00242278" w:rsidRPr="00242278" w14:paraId="31623F5B" w14:textId="77777777" w:rsidTr="00242278">
        <w:trPr>
          <w:trHeight w:val="290"/>
        </w:trPr>
        <w:tc>
          <w:tcPr>
            <w:tcW w:w="3940" w:type="dxa"/>
            <w:tcBorders>
              <w:top w:val="nil"/>
              <w:left w:val="nil"/>
              <w:bottom w:val="nil"/>
              <w:right w:val="nil"/>
            </w:tcBorders>
            <w:shd w:val="clear" w:color="auto" w:fill="auto"/>
            <w:noWrap/>
            <w:vAlign w:val="center"/>
            <w:hideMark/>
          </w:tcPr>
          <w:p w14:paraId="082292B1" w14:textId="77777777" w:rsidR="00242278" w:rsidRPr="00242278" w:rsidRDefault="00242278" w:rsidP="00242278">
            <w:pPr>
              <w:ind w:right="0"/>
              <w:jc w:val="left"/>
              <w:rPr>
                <w:color w:val="000000"/>
                <w:lang w:val="es-419" w:eastAsia="es-419"/>
              </w:rPr>
            </w:pPr>
            <w:r w:rsidRPr="00242278">
              <w:rPr>
                <w:color w:val="000000"/>
                <w:lang w:val="es-419" w:eastAsia="es-419"/>
              </w:rPr>
              <w:t>El Embalse S.A.</w:t>
            </w:r>
          </w:p>
        </w:tc>
      </w:tr>
      <w:tr w:rsidR="00242278" w:rsidRPr="00242278" w14:paraId="32444792" w14:textId="77777777" w:rsidTr="00242278">
        <w:trPr>
          <w:trHeight w:val="290"/>
        </w:trPr>
        <w:tc>
          <w:tcPr>
            <w:tcW w:w="3940" w:type="dxa"/>
            <w:tcBorders>
              <w:top w:val="nil"/>
              <w:left w:val="nil"/>
              <w:bottom w:val="nil"/>
              <w:right w:val="nil"/>
            </w:tcBorders>
            <w:shd w:val="clear" w:color="auto" w:fill="auto"/>
            <w:noWrap/>
            <w:vAlign w:val="center"/>
            <w:hideMark/>
          </w:tcPr>
          <w:p w14:paraId="21256299" w14:textId="77777777" w:rsidR="00242278" w:rsidRPr="00242278" w:rsidRDefault="00242278" w:rsidP="00242278">
            <w:pPr>
              <w:ind w:right="0"/>
              <w:jc w:val="left"/>
              <w:rPr>
                <w:color w:val="000000"/>
                <w:lang w:val="es-419" w:eastAsia="es-419"/>
              </w:rPr>
            </w:pPr>
            <w:r w:rsidRPr="00242278">
              <w:rPr>
                <w:color w:val="000000"/>
                <w:lang w:val="es-419" w:eastAsia="es-419"/>
              </w:rPr>
              <w:t>Hidro Venecia S.A</w:t>
            </w:r>
          </w:p>
        </w:tc>
      </w:tr>
      <w:tr w:rsidR="00242278" w:rsidRPr="00242278" w14:paraId="78211264" w14:textId="77777777" w:rsidTr="00242278">
        <w:trPr>
          <w:trHeight w:val="290"/>
        </w:trPr>
        <w:tc>
          <w:tcPr>
            <w:tcW w:w="3940" w:type="dxa"/>
            <w:tcBorders>
              <w:top w:val="nil"/>
              <w:left w:val="nil"/>
              <w:bottom w:val="nil"/>
              <w:right w:val="nil"/>
            </w:tcBorders>
            <w:shd w:val="clear" w:color="auto" w:fill="auto"/>
            <w:noWrap/>
            <w:vAlign w:val="center"/>
            <w:hideMark/>
          </w:tcPr>
          <w:p w14:paraId="007A8A87" w14:textId="77777777" w:rsidR="00242278" w:rsidRPr="00242278" w:rsidRDefault="00242278" w:rsidP="00242278">
            <w:pPr>
              <w:ind w:right="0"/>
              <w:jc w:val="left"/>
              <w:rPr>
                <w:color w:val="000000"/>
                <w:lang w:val="es-419" w:eastAsia="es-419"/>
              </w:rPr>
            </w:pPr>
            <w:r w:rsidRPr="00242278">
              <w:rPr>
                <w:color w:val="000000"/>
                <w:lang w:val="es-419" w:eastAsia="es-419"/>
              </w:rPr>
              <w:t>La Rebeca de La Marina S.A.</w:t>
            </w:r>
          </w:p>
        </w:tc>
      </w:tr>
      <w:tr w:rsidR="00242278" w:rsidRPr="00242278" w14:paraId="4218192E" w14:textId="77777777" w:rsidTr="00242278">
        <w:trPr>
          <w:trHeight w:val="290"/>
        </w:trPr>
        <w:tc>
          <w:tcPr>
            <w:tcW w:w="3940" w:type="dxa"/>
            <w:tcBorders>
              <w:top w:val="nil"/>
              <w:left w:val="nil"/>
              <w:bottom w:val="nil"/>
              <w:right w:val="nil"/>
            </w:tcBorders>
            <w:shd w:val="clear" w:color="auto" w:fill="auto"/>
            <w:noWrap/>
            <w:vAlign w:val="center"/>
            <w:hideMark/>
          </w:tcPr>
          <w:p w14:paraId="27CB6CC2" w14:textId="77777777" w:rsidR="00242278" w:rsidRPr="00242278" w:rsidRDefault="00242278" w:rsidP="00242278">
            <w:pPr>
              <w:ind w:right="0"/>
              <w:jc w:val="left"/>
              <w:rPr>
                <w:color w:val="000000"/>
                <w:lang w:val="es-419" w:eastAsia="es-419"/>
              </w:rPr>
            </w:pPr>
            <w:r w:rsidRPr="00242278">
              <w:rPr>
                <w:color w:val="000000"/>
                <w:lang w:val="es-419" w:eastAsia="es-419"/>
              </w:rPr>
              <w:t>Ingenio Taboga S.A.</w:t>
            </w:r>
          </w:p>
        </w:tc>
      </w:tr>
      <w:tr w:rsidR="00242278" w:rsidRPr="00242278" w14:paraId="366F738F" w14:textId="77777777" w:rsidTr="00242278">
        <w:trPr>
          <w:trHeight w:val="290"/>
        </w:trPr>
        <w:tc>
          <w:tcPr>
            <w:tcW w:w="3940" w:type="dxa"/>
            <w:tcBorders>
              <w:top w:val="nil"/>
              <w:left w:val="nil"/>
              <w:bottom w:val="nil"/>
              <w:right w:val="nil"/>
            </w:tcBorders>
            <w:shd w:val="clear" w:color="auto" w:fill="auto"/>
            <w:noWrap/>
            <w:vAlign w:val="center"/>
            <w:hideMark/>
          </w:tcPr>
          <w:p w14:paraId="318AD739"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5DFBDF4A" w14:textId="77777777" w:rsidTr="00242278">
        <w:trPr>
          <w:trHeight w:val="290"/>
        </w:trPr>
        <w:tc>
          <w:tcPr>
            <w:tcW w:w="3940" w:type="dxa"/>
            <w:tcBorders>
              <w:top w:val="nil"/>
              <w:left w:val="nil"/>
              <w:bottom w:val="nil"/>
              <w:right w:val="nil"/>
            </w:tcBorders>
            <w:shd w:val="clear" w:color="auto" w:fill="auto"/>
            <w:noWrap/>
            <w:vAlign w:val="center"/>
            <w:hideMark/>
          </w:tcPr>
          <w:p w14:paraId="6CB10439"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20A908D4" w14:textId="77777777" w:rsidTr="00242278">
        <w:trPr>
          <w:trHeight w:val="290"/>
        </w:trPr>
        <w:tc>
          <w:tcPr>
            <w:tcW w:w="3940" w:type="dxa"/>
            <w:tcBorders>
              <w:top w:val="nil"/>
              <w:left w:val="nil"/>
              <w:bottom w:val="nil"/>
              <w:right w:val="nil"/>
            </w:tcBorders>
            <w:shd w:val="clear" w:color="auto" w:fill="auto"/>
            <w:noWrap/>
            <w:vAlign w:val="center"/>
            <w:hideMark/>
          </w:tcPr>
          <w:p w14:paraId="22B1F8F8"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7E687467" w14:textId="77777777" w:rsidTr="00242278">
        <w:trPr>
          <w:trHeight w:val="290"/>
        </w:trPr>
        <w:tc>
          <w:tcPr>
            <w:tcW w:w="3940" w:type="dxa"/>
            <w:tcBorders>
              <w:top w:val="nil"/>
              <w:left w:val="nil"/>
              <w:bottom w:val="nil"/>
              <w:right w:val="nil"/>
            </w:tcBorders>
            <w:shd w:val="clear" w:color="auto" w:fill="auto"/>
            <w:noWrap/>
            <w:vAlign w:val="center"/>
            <w:hideMark/>
          </w:tcPr>
          <w:p w14:paraId="0FC4727A"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17CABECD" w14:textId="77777777" w:rsidTr="00242278">
        <w:trPr>
          <w:trHeight w:val="290"/>
        </w:trPr>
        <w:tc>
          <w:tcPr>
            <w:tcW w:w="3940" w:type="dxa"/>
            <w:tcBorders>
              <w:top w:val="nil"/>
              <w:left w:val="nil"/>
              <w:bottom w:val="nil"/>
              <w:right w:val="nil"/>
            </w:tcBorders>
            <w:shd w:val="clear" w:color="auto" w:fill="auto"/>
            <w:noWrap/>
            <w:vAlign w:val="center"/>
            <w:hideMark/>
          </w:tcPr>
          <w:p w14:paraId="08469B91"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La Joya S.A</w:t>
            </w:r>
          </w:p>
        </w:tc>
      </w:tr>
      <w:tr w:rsidR="00242278" w:rsidRPr="00242278" w14:paraId="0ECEF518" w14:textId="77777777" w:rsidTr="00242278">
        <w:trPr>
          <w:trHeight w:val="290"/>
        </w:trPr>
        <w:tc>
          <w:tcPr>
            <w:tcW w:w="3940" w:type="dxa"/>
            <w:tcBorders>
              <w:top w:val="nil"/>
              <w:left w:val="nil"/>
              <w:bottom w:val="nil"/>
              <w:right w:val="nil"/>
            </w:tcBorders>
            <w:shd w:val="clear" w:color="auto" w:fill="auto"/>
            <w:noWrap/>
            <w:vAlign w:val="center"/>
            <w:hideMark/>
          </w:tcPr>
          <w:p w14:paraId="58068FFE" w14:textId="77777777" w:rsidR="00242278" w:rsidRPr="00242278" w:rsidRDefault="00242278" w:rsidP="00242278">
            <w:pPr>
              <w:ind w:right="0"/>
              <w:jc w:val="left"/>
              <w:rPr>
                <w:color w:val="000000"/>
                <w:lang w:val="es-419" w:eastAsia="es-419"/>
              </w:rPr>
            </w:pPr>
            <w:r w:rsidRPr="00242278">
              <w:rPr>
                <w:color w:val="000000"/>
                <w:lang w:val="es-419" w:eastAsia="es-419"/>
              </w:rPr>
              <w:t>Hidroenergía del General HDG S.R.L.</w:t>
            </w:r>
          </w:p>
        </w:tc>
      </w:tr>
      <w:tr w:rsidR="00242278" w:rsidRPr="00242278" w14:paraId="1125EEA9" w14:textId="77777777" w:rsidTr="00242278">
        <w:trPr>
          <w:trHeight w:val="290"/>
        </w:trPr>
        <w:tc>
          <w:tcPr>
            <w:tcW w:w="3940" w:type="dxa"/>
            <w:tcBorders>
              <w:top w:val="nil"/>
              <w:left w:val="nil"/>
              <w:bottom w:val="nil"/>
              <w:right w:val="nil"/>
            </w:tcBorders>
            <w:shd w:val="clear" w:color="auto" w:fill="auto"/>
            <w:noWrap/>
            <w:vAlign w:val="center"/>
            <w:hideMark/>
          </w:tcPr>
          <w:p w14:paraId="349D49D3"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255AB474" w14:textId="77777777" w:rsidTr="00242278">
        <w:trPr>
          <w:trHeight w:val="290"/>
        </w:trPr>
        <w:tc>
          <w:tcPr>
            <w:tcW w:w="3940" w:type="dxa"/>
            <w:tcBorders>
              <w:top w:val="nil"/>
              <w:left w:val="nil"/>
              <w:bottom w:val="nil"/>
              <w:right w:val="nil"/>
            </w:tcBorders>
            <w:shd w:val="clear" w:color="auto" w:fill="auto"/>
            <w:noWrap/>
            <w:vAlign w:val="center"/>
            <w:hideMark/>
          </w:tcPr>
          <w:p w14:paraId="7741760C" w14:textId="77777777" w:rsidR="00242278" w:rsidRPr="00242278" w:rsidRDefault="00242278" w:rsidP="00242278">
            <w:pPr>
              <w:ind w:right="0"/>
              <w:jc w:val="left"/>
              <w:rPr>
                <w:color w:val="000000"/>
                <w:lang w:val="es-419" w:eastAsia="es-419"/>
              </w:rPr>
            </w:pPr>
            <w:r w:rsidRPr="00242278">
              <w:rPr>
                <w:color w:val="000000"/>
                <w:lang w:val="es-419" w:eastAsia="es-419"/>
              </w:rPr>
              <w:t>Unión Fenosa Gen. Torito S.A.</w:t>
            </w:r>
          </w:p>
        </w:tc>
      </w:tr>
      <w:tr w:rsidR="00242278" w:rsidRPr="00242278" w14:paraId="07B24161" w14:textId="77777777" w:rsidTr="00242278">
        <w:trPr>
          <w:trHeight w:val="290"/>
        </w:trPr>
        <w:tc>
          <w:tcPr>
            <w:tcW w:w="3940" w:type="dxa"/>
            <w:tcBorders>
              <w:top w:val="nil"/>
              <w:left w:val="nil"/>
              <w:bottom w:val="nil"/>
              <w:right w:val="nil"/>
            </w:tcBorders>
            <w:shd w:val="clear" w:color="auto" w:fill="auto"/>
            <w:noWrap/>
            <w:vAlign w:val="center"/>
            <w:hideMark/>
          </w:tcPr>
          <w:p w14:paraId="23C996FE" w14:textId="77777777" w:rsidR="00242278" w:rsidRPr="00242278" w:rsidRDefault="00242278" w:rsidP="00242278">
            <w:pPr>
              <w:ind w:right="0"/>
              <w:jc w:val="left"/>
              <w:rPr>
                <w:color w:val="000000"/>
                <w:lang w:val="es-419" w:eastAsia="es-419"/>
              </w:rPr>
            </w:pPr>
            <w:r w:rsidRPr="00242278">
              <w:rPr>
                <w:color w:val="000000"/>
                <w:lang w:val="es-419" w:eastAsia="es-419"/>
              </w:rPr>
              <w:t>Azucarera El Viejo S.A.</w:t>
            </w:r>
          </w:p>
        </w:tc>
      </w:tr>
    </w:tbl>
    <w:p w14:paraId="650BBC39" w14:textId="77777777" w:rsidR="00242278" w:rsidRDefault="00242278" w:rsidP="00A65F5F">
      <w:pPr>
        <w:ind w:left="-540" w:right="-25"/>
      </w:pPr>
    </w:p>
    <w:p w14:paraId="780D71F2" w14:textId="77777777" w:rsidR="00A65F5F" w:rsidRDefault="00A65F5F" w:rsidP="00A65F5F">
      <w:pPr>
        <w:ind w:left="-540" w:right="-25"/>
      </w:pPr>
      <w:r w:rsidRPr="00B81C1F">
        <w:t>Parte de la energía que se consume en el territorio nacional es importada, así como parte de la energía producida se exporta. Estas importaciones y exportaciones son producto de las fluctuaciones de la demanda a través del año</w:t>
      </w:r>
      <w:r>
        <w:t>.</w:t>
      </w:r>
    </w:p>
    <w:p w14:paraId="36D93D43" w14:textId="77777777" w:rsidR="00AE5619" w:rsidRDefault="00AE5619" w:rsidP="00A65F5F">
      <w:pPr>
        <w:ind w:left="-540" w:right="-25"/>
      </w:pPr>
    </w:p>
    <w:p w14:paraId="470FFFFE" w14:textId="77777777" w:rsidR="00A65F5F" w:rsidRDefault="00A65F5F" w:rsidP="00A65F5F">
      <w:pPr>
        <w:ind w:left="-540" w:right="-25"/>
        <w:rPr>
          <w:b/>
        </w:rPr>
      </w:pPr>
    </w:p>
    <w:p w14:paraId="4BDC8625" w14:textId="77777777" w:rsidR="00A65F5F" w:rsidRPr="00650E9B" w:rsidRDefault="00A65F5F" w:rsidP="00A65F5F">
      <w:pPr>
        <w:ind w:left="-540" w:right="-25"/>
        <w:rPr>
          <w:b/>
        </w:rPr>
      </w:pPr>
      <w:r w:rsidRPr="00B81C1F">
        <w:rPr>
          <w:b/>
        </w:rPr>
        <w:t>Sector Telecomunicaciones</w:t>
      </w:r>
    </w:p>
    <w:p w14:paraId="66130F3B" w14:textId="77777777" w:rsidR="00A65F5F" w:rsidRDefault="00A65F5F" w:rsidP="00A65F5F">
      <w:pPr>
        <w:ind w:left="-540" w:right="-25"/>
      </w:pPr>
    </w:p>
    <w:p w14:paraId="043C49D1" w14:textId="293E3916" w:rsidR="00A65F5F" w:rsidRDefault="00A65F5F" w:rsidP="00A65F5F">
      <w:pPr>
        <w:ind w:left="-540" w:right="-25"/>
      </w:pPr>
      <w:r>
        <w:t xml:space="preserve">Este sector brinda los servicios de telefonía básica, servicios internacionales, telefonía fija, servicios móviles, servicio de internet (conmutado, dedicado y red de avanzada), así como diferentes servicios empresariales.  Con la entrada en vigencia del Tratado de Libre Comercio con los Estados Unidos, el sector se ha abierto al mercado y </w:t>
      </w:r>
      <w:r w:rsidR="00D21D8B">
        <w:t>existen</w:t>
      </w:r>
      <w:r>
        <w:t xml:space="preserve"> diferentes proveedores de servicios de </w:t>
      </w:r>
      <w:r w:rsidRPr="00691EB5">
        <w:t xml:space="preserve">telecomunicaciones, así como del uso y explotación de redes.  </w:t>
      </w:r>
    </w:p>
    <w:p w14:paraId="17E88250" w14:textId="77777777" w:rsidR="00900868" w:rsidRDefault="00900868" w:rsidP="00A65F5F">
      <w:pPr>
        <w:ind w:left="-540" w:right="-25"/>
      </w:pPr>
    </w:p>
    <w:p w14:paraId="09BB968F" w14:textId="77777777" w:rsidR="00A65F5F" w:rsidRPr="00691EB5" w:rsidRDefault="00A65F5F" w:rsidP="00A65F5F">
      <w:pPr>
        <w:ind w:left="-540" w:right="-25"/>
      </w:pPr>
    </w:p>
    <w:p w14:paraId="7C8B91B6" w14:textId="77777777" w:rsidR="00A65F5F" w:rsidRDefault="00A65F5F" w:rsidP="00A65F5F">
      <w:pPr>
        <w:ind w:left="-540" w:right="-25"/>
        <w:rPr>
          <w:b/>
        </w:rPr>
      </w:pPr>
      <w:r w:rsidRPr="002B6E95">
        <w:rPr>
          <w:b/>
        </w:rPr>
        <w:t xml:space="preserve">Ventas al </w:t>
      </w:r>
      <w:r w:rsidRPr="00982D7C">
        <w:rPr>
          <w:b/>
        </w:rPr>
        <w:t>mercado internacional</w:t>
      </w:r>
    </w:p>
    <w:p w14:paraId="1161E1F0" w14:textId="77777777" w:rsidR="00A65F5F" w:rsidRDefault="00A65F5F" w:rsidP="00A65F5F">
      <w:pPr>
        <w:ind w:left="-540" w:right="-25"/>
      </w:pPr>
    </w:p>
    <w:p w14:paraId="083B35B6" w14:textId="2B549036" w:rsidR="00D21D8B" w:rsidRPr="0043767A" w:rsidRDefault="00D21D8B" w:rsidP="0043767A">
      <w:pPr>
        <w:ind w:left="-540" w:right="-25"/>
      </w:pPr>
      <w:r w:rsidRPr="0043767A">
        <w:t>Tenemos contratos bilaterales con operadores extranjeros para la transmisión de llamadas internacionales entrantes y salientes y servicios de roaming. Determinamos el precio y las tarifas que se cobran a los consumidores en función de los acuerdos celebrados con estos operadores, y dichos acuerdos se revisan para reflejar las convenciones del mercado y los tipos de cambio de divisas. Durante los últimos años, nuestra red se ha expandido y las tarifas de las llamadas internacionales y los servicios de roaming han disminuido, lo que ha resultado en un mayor volumen de servicios internacionales (voz y roaming).</w:t>
      </w:r>
    </w:p>
    <w:p w14:paraId="00C10B7F" w14:textId="77777777" w:rsidR="00A65F5F" w:rsidRDefault="00A65F5F" w:rsidP="00A65F5F">
      <w:pPr>
        <w:ind w:left="-540" w:right="-25"/>
      </w:pPr>
      <w:r>
        <w:t xml:space="preserve"> </w:t>
      </w:r>
    </w:p>
    <w:p w14:paraId="08E2C734" w14:textId="77777777" w:rsidR="00A65F5F" w:rsidRPr="0033397B" w:rsidRDefault="00A65F5F" w:rsidP="00A65F5F">
      <w:pPr>
        <w:ind w:left="-540" w:right="-25"/>
      </w:pPr>
      <w:r w:rsidRPr="00D52FCE">
        <w:t>En</w:t>
      </w:r>
      <w:r w:rsidRPr="00660044">
        <w:t xml:space="preserve"> el sector </w:t>
      </w:r>
      <w:r>
        <w:t>de electricidad</w:t>
      </w:r>
      <w:r w:rsidRPr="00660044">
        <w:t xml:space="preserve"> las ventas son en la </w:t>
      </w:r>
      <w:r>
        <w:t>Región C</w:t>
      </w:r>
      <w:r w:rsidRPr="00660044">
        <w:t>entroamericana y P</w:t>
      </w:r>
      <w:r>
        <w:t>anamá</w:t>
      </w:r>
      <w:r w:rsidRPr="00660044">
        <w:t>.  Los servicios de interconexión en telecomunicaciones corresponde a ingresos que provienen del cobro que se hace a distintos carriers internacionales que utilizan la red nacional para el tráfico de llamadas internacionales, donde la mayoría de éstos son estadounidenses</w:t>
      </w:r>
      <w:r w:rsidRPr="0033397B">
        <w:t>, además de europeos, entre otros</w:t>
      </w:r>
    </w:p>
    <w:p w14:paraId="7F00D4FA" w14:textId="77777777" w:rsidR="00A65F5F" w:rsidRPr="0033397B" w:rsidRDefault="00A65F5F" w:rsidP="00A65F5F">
      <w:pPr>
        <w:ind w:left="-540" w:right="-25"/>
      </w:pPr>
    </w:p>
    <w:p w14:paraId="5DF78446" w14:textId="77777777" w:rsidR="00A65F5F" w:rsidRPr="00B027AA" w:rsidRDefault="00A65F5F" w:rsidP="00EF0D70">
      <w:pPr>
        <w:pStyle w:val="Ttulo3"/>
        <w:numPr>
          <w:ilvl w:val="0"/>
          <w:numId w:val="49"/>
        </w:numPr>
      </w:pPr>
      <w:bookmarkStart w:id="2062" w:name="_Toc235615293"/>
      <w:bookmarkStart w:id="2063" w:name="_Toc235616781"/>
      <w:bookmarkStart w:id="2064" w:name="_Toc304737223"/>
      <w:bookmarkStart w:id="2065" w:name="_Toc343676058"/>
      <w:bookmarkStart w:id="2066" w:name="_Toc358619421"/>
      <w:bookmarkStart w:id="2067" w:name="_Toc358620686"/>
      <w:bookmarkStart w:id="2068" w:name="_Toc358621893"/>
      <w:bookmarkStart w:id="2069" w:name="_Toc358622870"/>
      <w:bookmarkStart w:id="2070" w:name="_Toc26357159"/>
      <w:bookmarkStart w:id="2071" w:name="_Toc138664948"/>
      <w:bookmarkEnd w:id="2062"/>
      <w:bookmarkEnd w:id="2063"/>
      <w:r w:rsidRPr="00B027AA">
        <w:t>Materias Primas y Estacionalidad</w:t>
      </w:r>
      <w:bookmarkEnd w:id="2064"/>
      <w:bookmarkEnd w:id="2065"/>
      <w:bookmarkEnd w:id="2066"/>
      <w:bookmarkEnd w:id="2067"/>
      <w:bookmarkEnd w:id="2068"/>
      <w:bookmarkEnd w:id="2069"/>
      <w:bookmarkEnd w:id="2070"/>
      <w:bookmarkEnd w:id="2071"/>
    </w:p>
    <w:p w14:paraId="54036F04" w14:textId="77777777" w:rsidR="00722545" w:rsidRPr="0043767A" w:rsidRDefault="00722545" w:rsidP="0020490F">
      <w:pPr>
        <w:ind w:left="-540" w:right="-25"/>
      </w:pPr>
      <w:r w:rsidRPr="0043767A">
        <w:t> El Sector Electricidad cuenta con diferentes fuentes de generación, en su mayoría renovables. Como tema de respaldo, se dispone de la generación térmica que utiliza combustibles fósiles, los cuales son adquiridos por medio de RECOPE, que es la compañía petrolera estatal de Costa Rica.</w:t>
      </w:r>
    </w:p>
    <w:p w14:paraId="22C6E0AB" w14:textId="77777777" w:rsidR="00722545" w:rsidRPr="0043767A" w:rsidRDefault="00722545" w:rsidP="0020490F">
      <w:pPr>
        <w:ind w:left="-540" w:right="-25"/>
      </w:pPr>
      <w:r w:rsidRPr="0043767A">
        <w:t>En cuanto a la estacionalidad es importante anotar que el consumo de fuentes térmicas se da con mayor intensidad en el primer semestre de cada año, que es la época seca en Costa Rica y que afecta la generación hidroeléctrica, pero que no ha sido una constante en los últimos tres años.</w:t>
      </w:r>
    </w:p>
    <w:p w14:paraId="2ECBA299" w14:textId="77777777" w:rsidR="00A65F5F" w:rsidRDefault="00A65F5F" w:rsidP="00A65F5F">
      <w:pPr>
        <w:ind w:left="-540" w:right="-25"/>
      </w:pPr>
    </w:p>
    <w:p w14:paraId="5529870C" w14:textId="77777777" w:rsidR="00A65F5F" w:rsidRPr="00A27B7B" w:rsidRDefault="00A65F5F" w:rsidP="00EF0D70">
      <w:pPr>
        <w:pStyle w:val="Ttulo3"/>
        <w:numPr>
          <w:ilvl w:val="0"/>
          <w:numId w:val="50"/>
        </w:numPr>
      </w:pPr>
      <w:bookmarkStart w:id="2072" w:name="_Toc304737224"/>
      <w:bookmarkStart w:id="2073" w:name="_Toc343676059"/>
      <w:bookmarkStart w:id="2074" w:name="_Toc358619422"/>
      <w:bookmarkStart w:id="2075" w:name="_Toc358620687"/>
      <w:bookmarkStart w:id="2076" w:name="_Toc358621894"/>
      <w:bookmarkStart w:id="2077" w:name="_Toc358622871"/>
      <w:bookmarkStart w:id="2078" w:name="_Toc26357160"/>
      <w:bookmarkStart w:id="2079" w:name="_Toc138664949"/>
      <w:r w:rsidRPr="00A27B7B">
        <w:t>Representación de casas extranjeras y asistencia técnica</w:t>
      </w:r>
      <w:bookmarkEnd w:id="2072"/>
      <w:bookmarkEnd w:id="2073"/>
      <w:bookmarkEnd w:id="2074"/>
      <w:bookmarkEnd w:id="2075"/>
      <w:bookmarkEnd w:id="2076"/>
      <w:bookmarkEnd w:id="2077"/>
      <w:bookmarkEnd w:id="2078"/>
      <w:bookmarkEnd w:id="2079"/>
    </w:p>
    <w:p w14:paraId="352EAB6E" w14:textId="77777777" w:rsidR="00A65F5F" w:rsidRPr="00A27B7B" w:rsidRDefault="00A65F5F" w:rsidP="00A65F5F">
      <w:pPr>
        <w:ind w:left="-540" w:right="-25"/>
      </w:pPr>
    </w:p>
    <w:p w14:paraId="5A736D28" w14:textId="77777777" w:rsidR="00A65F5F" w:rsidRDefault="00A65F5F" w:rsidP="00A65F5F">
      <w:pPr>
        <w:ind w:left="-540" w:right="-25"/>
      </w:pPr>
      <w:r w:rsidRPr="00A27B7B">
        <w:t>El ICE no cuenta con ninguna representación de casas extranjeras ni tampoco cuenta con ninguna asistencia técnica.</w:t>
      </w:r>
      <w:r>
        <w:tab/>
      </w:r>
    </w:p>
    <w:p w14:paraId="192F7B57" w14:textId="77777777" w:rsidR="00A65F5F" w:rsidRPr="00B318A5" w:rsidRDefault="00A65F5F" w:rsidP="00EF0D70">
      <w:pPr>
        <w:pStyle w:val="Ttulo3"/>
        <w:numPr>
          <w:ilvl w:val="0"/>
          <w:numId w:val="51"/>
        </w:numPr>
      </w:pPr>
      <w:bookmarkStart w:id="2080" w:name="_Toc210619900"/>
      <w:bookmarkStart w:id="2081" w:name="_Toc304737225"/>
      <w:bookmarkStart w:id="2082" w:name="_Toc343676060"/>
      <w:bookmarkStart w:id="2083" w:name="_Toc358619423"/>
      <w:bookmarkStart w:id="2084" w:name="_Toc358620688"/>
      <w:bookmarkStart w:id="2085" w:name="_Toc358621895"/>
      <w:bookmarkStart w:id="2086" w:name="_Toc358622872"/>
      <w:bookmarkStart w:id="2087" w:name="_Toc26357161"/>
      <w:bookmarkStart w:id="2088" w:name="_Toc138664950"/>
      <w:bookmarkEnd w:id="2080"/>
      <w:r w:rsidRPr="00B318A5">
        <w:t>Litigios</w:t>
      </w:r>
      <w:bookmarkEnd w:id="2081"/>
      <w:bookmarkEnd w:id="2082"/>
      <w:bookmarkEnd w:id="2083"/>
      <w:bookmarkEnd w:id="2084"/>
      <w:bookmarkEnd w:id="2085"/>
      <w:bookmarkEnd w:id="2086"/>
      <w:bookmarkEnd w:id="2087"/>
      <w:bookmarkEnd w:id="2088"/>
    </w:p>
    <w:p w14:paraId="4D9B69FC" w14:textId="77777777" w:rsidR="00A65F5F" w:rsidRPr="00670E95" w:rsidRDefault="00A65F5F" w:rsidP="00A65F5F">
      <w:pPr>
        <w:ind w:left="-540" w:right="-25"/>
      </w:pPr>
    </w:p>
    <w:p w14:paraId="5E3DB6EC" w14:textId="77777777" w:rsidR="00A65F5F" w:rsidRDefault="00A65F5F" w:rsidP="00A65F5F">
      <w:pPr>
        <w:ind w:left="-540" w:right="-25"/>
      </w:pPr>
    </w:p>
    <w:p w14:paraId="009F556E" w14:textId="77777777" w:rsidR="00A65F5F" w:rsidRDefault="00A65F5F" w:rsidP="00A65F5F">
      <w:pPr>
        <w:ind w:left="720" w:hanging="720"/>
        <w:rPr>
          <w:lang w:val="es-CO"/>
        </w:rPr>
      </w:pPr>
      <w:r w:rsidRPr="003D3A8B">
        <w:rPr>
          <w:lang w:val="es-CO"/>
        </w:rPr>
        <w:t>La siguiente es una definición de los principales tipos de procesos y jurisdicciones reconocidos por el Grupo ICE:</w:t>
      </w:r>
    </w:p>
    <w:p w14:paraId="7B9CFA54" w14:textId="77777777" w:rsidR="00274DCC" w:rsidRPr="00FA793E" w:rsidRDefault="00274DCC" w:rsidP="00A65F5F">
      <w:pPr>
        <w:ind w:left="720" w:hanging="720"/>
        <w:rPr>
          <w:u w:val="single"/>
          <w:lang w:val="es-CO"/>
        </w:rPr>
      </w:pPr>
      <w:r w:rsidRPr="00FA793E">
        <w:rPr>
          <w:u w:val="single"/>
          <w:lang w:val="es-CO"/>
        </w:rPr>
        <w:t>C</w:t>
      </w:r>
      <w:r w:rsidRPr="00274DCC">
        <w:rPr>
          <w:u w:val="single"/>
          <w:lang w:val="es-CO"/>
        </w:rPr>
        <w:t xml:space="preserve">ifras en millones </w:t>
      </w:r>
    </w:p>
    <w:p w14:paraId="503C7083" w14:textId="77777777" w:rsidR="00F34CE0" w:rsidRDefault="00F34CE0" w:rsidP="00A65F5F">
      <w:pPr>
        <w:ind w:left="-540" w:right="-25"/>
        <w:rPr>
          <w:noProof/>
        </w:rPr>
      </w:pPr>
    </w:p>
    <w:p w14:paraId="39B52AAE" w14:textId="77777777" w:rsidR="00F34CE0" w:rsidRDefault="00F34CE0" w:rsidP="00A65F5F">
      <w:pPr>
        <w:ind w:left="-540" w:right="-25"/>
        <w:rPr>
          <w:noProof/>
        </w:rPr>
      </w:pPr>
    </w:p>
    <w:p w14:paraId="293033A8" w14:textId="19849F23" w:rsidR="006D2F7D" w:rsidRPr="00BA08EC" w:rsidRDefault="006D2F7D" w:rsidP="00BA08EC">
      <w:pPr>
        <w:spacing w:line="276" w:lineRule="auto"/>
        <w:ind w:right="0"/>
        <w:contextualSpacing/>
        <w:rPr>
          <w:b/>
          <w:bCs/>
          <w:u w:val="single"/>
          <w:lang w:val="es-CR"/>
        </w:rPr>
      </w:pPr>
      <w:bookmarkStart w:id="2089" w:name="_Toc481956916"/>
      <w:r w:rsidRPr="00BA08EC">
        <w:rPr>
          <w:b/>
          <w:bCs/>
          <w:u w:val="single"/>
          <w:lang w:val="es-CR"/>
        </w:rPr>
        <w:t xml:space="preserve">Nota 31. </w:t>
      </w:r>
      <w:r w:rsidR="00384F14" w:rsidRPr="00BA08EC">
        <w:rPr>
          <w:b/>
          <w:bCs/>
          <w:u w:val="single"/>
          <w:lang w:val="es-CR"/>
        </w:rPr>
        <w:t xml:space="preserve">Activos y pasivos </w:t>
      </w:r>
      <w:bookmarkEnd w:id="2089"/>
      <w:r w:rsidRPr="00BA08EC">
        <w:rPr>
          <w:b/>
          <w:bCs/>
          <w:u w:val="single"/>
          <w:lang w:val="es-CR"/>
        </w:rPr>
        <w:t>contingentes</w:t>
      </w:r>
    </w:p>
    <w:p w14:paraId="33FDE109" w14:textId="77777777" w:rsidR="006D2F7D" w:rsidRPr="00BA08EC" w:rsidRDefault="006D2F7D" w:rsidP="00BA08EC">
      <w:pPr>
        <w:spacing w:line="276" w:lineRule="auto"/>
        <w:ind w:right="0"/>
        <w:contextualSpacing/>
        <w:rPr>
          <w:b/>
          <w:bCs/>
          <w:u w:val="single"/>
          <w:lang w:val="es-CR"/>
        </w:rPr>
      </w:pPr>
    </w:p>
    <w:p w14:paraId="062BE0E3" w14:textId="77777777" w:rsidR="00CC74F4" w:rsidRPr="00D45D17" w:rsidRDefault="00CC74F4" w:rsidP="00CC74F4">
      <w:pPr>
        <w:pStyle w:val="Textoindependiente"/>
        <w:spacing w:before="92"/>
        <w:ind w:left="807" w:right="104" w:hanging="706"/>
        <w:rPr>
          <w:rFonts w:ascii="Times New Roman" w:hAnsi="Times New Roman" w:cs="Times New Roman"/>
        </w:rPr>
      </w:pP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Grupo</w:t>
      </w:r>
      <w:r w:rsidRPr="00D45D17">
        <w:rPr>
          <w:rFonts w:ascii="Times New Roman" w:hAnsi="Times New Roman" w:cs="Times New Roman"/>
          <w:spacing w:val="-5"/>
        </w:rPr>
        <w:t xml:space="preserve"> </w:t>
      </w:r>
      <w:r w:rsidRPr="00D45D17">
        <w:rPr>
          <w:rFonts w:ascii="Times New Roman" w:hAnsi="Times New Roman" w:cs="Times New Roman"/>
        </w:rPr>
        <w:t>ICE</w:t>
      </w:r>
      <w:r w:rsidRPr="00D45D17">
        <w:rPr>
          <w:rFonts w:ascii="Times New Roman" w:hAnsi="Times New Roman" w:cs="Times New Roman"/>
          <w:spacing w:val="-5"/>
        </w:rPr>
        <w:t xml:space="preserve"> </w:t>
      </w:r>
      <w:r w:rsidRPr="00D45D17">
        <w:rPr>
          <w:rFonts w:ascii="Times New Roman" w:hAnsi="Times New Roman" w:cs="Times New Roman"/>
        </w:rPr>
        <w:t>enfrenta</w:t>
      </w:r>
      <w:r w:rsidRPr="00D45D17">
        <w:rPr>
          <w:rFonts w:ascii="Times New Roman" w:hAnsi="Times New Roman" w:cs="Times New Roman"/>
          <w:spacing w:val="-4"/>
        </w:rPr>
        <w:t xml:space="preserve"> </w:t>
      </w:r>
      <w:r w:rsidRPr="00D45D17">
        <w:rPr>
          <w:rFonts w:ascii="Times New Roman" w:hAnsi="Times New Roman" w:cs="Times New Roman"/>
        </w:rPr>
        <w:t>varias</w:t>
      </w:r>
      <w:r w:rsidRPr="00D45D17">
        <w:rPr>
          <w:rFonts w:ascii="Times New Roman" w:hAnsi="Times New Roman" w:cs="Times New Roman"/>
          <w:spacing w:val="-4"/>
        </w:rPr>
        <w:t xml:space="preserve"> </w:t>
      </w:r>
      <w:r w:rsidRPr="00D45D17">
        <w:rPr>
          <w:rFonts w:ascii="Times New Roman" w:hAnsi="Times New Roman" w:cs="Times New Roman"/>
        </w:rPr>
        <w:t>demandas</w:t>
      </w:r>
      <w:r w:rsidRPr="00D45D17">
        <w:rPr>
          <w:rFonts w:ascii="Times New Roman" w:hAnsi="Times New Roman" w:cs="Times New Roman"/>
          <w:spacing w:val="-4"/>
        </w:rPr>
        <w:t xml:space="preserve"> </w:t>
      </w:r>
      <w:r w:rsidRPr="00D45D17">
        <w:rPr>
          <w:rFonts w:ascii="Times New Roman" w:hAnsi="Times New Roman" w:cs="Times New Roman"/>
        </w:rPr>
        <w:t>las</w:t>
      </w:r>
      <w:r w:rsidRPr="00D45D17">
        <w:rPr>
          <w:rFonts w:ascii="Times New Roman" w:hAnsi="Times New Roman" w:cs="Times New Roman"/>
          <w:spacing w:val="-4"/>
        </w:rPr>
        <w:t xml:space="preserve"> </w:t>
      </w:r>
      <w:r w:rsidRPr="00D45D17">
        <w:rPr>
          <w:rFonts w:ascii="Times New Roman" w:hAnsi="Times New Roman" w:cs="Times New Roman"/>
        </w:rPr>
        <w:t>cuales</w:t>
      </w:r>
      <w:r w:rsidRPr="00D45D17">
        <w:rPr>
          <w:rFonts w:ascii="Times New Roman" w:hAnsi="Times New Roman" w:cs="Times New Roman"/>
          <w:spacing w:val="-4"/>
        </w:rPr>
        <w:t xml:space="preserve"> </w:t>
      </w:r>
      <w:r w:rsidRPr="00D45D17">
        <w:rPr>
          <w:rFonts w:ascii="Times New Roman" w:hAnsi="Times New Roman" w:cs="Times New Roman"/>
        </w:rPr>
        <w:t>se</w:t>
      </w:r>
      <w:r w:rsidRPr="00D45D17">
        <w:rPr>
          <w:rFonts w:ascii="Times New Roman" w:hAnsi="Times New Roman" w:cs="Times New Roman"/>
          <w:spacing w:val="-4"/>
        </w:rPr>
        <w:t xml:space="preserve"> </w:t>
      </w:r>
      <w:r w:rsidRPr="00D45D17">
        <w:rPr>
          <w:rFonts w:ascii="Times New Roman" w:hAnsi="Times New Roman" w:cs="Times New Roman"/>
        </w:rPr>
        <w:t>han</w:t>
      </w:r>
      <w:r w:rsidRPr="00D45D17">
        <w:rPr>
          <w:rFonts w:ascii="Times New Roman" w:hAnsi="Times New Roman" w:cs="Times New Roman"/>
          <w:spacing w:val="-1"/>
        </w:rPr>
        <w:t xml:space="preserve"> </w:t>
      </w:r>
      <w:r w:rsidRPr="00D45D17">
        <w:rPr>
          <w:rFonts w:ascii="Times New Roman" w:hAnsi="Times New Roman" w:cs="Times New Roman"/>
        </w:rPr>
        <w:t>estimado</w:t>
      </w:r>
      <w:r w:rsidRPr="00D45D17">
        <w:rPr>
          <w:rFonts w:ascii="Times New Roman" w:hAnsi="Times New Roman" w:cs="Times New Roman"/>
          <w:spacing w:val="-4"/>
        </w:rPr>
        <w:t xml:space="preserve"> </w:t>
      </w:r>
      <w:r w:rsidRPr="00D45D17">
        <w:rPr>
          <w:rFonts w:ascii="Times New Roman" w:hAnsi="Times New Roman" w:cs="Times New Roman"/>
        </w:rPr>
        <w:t>en</w:t>
      </w:r>
      <w:r w:rsidRPr="00D45D17">
        <w:rPr>
          <w:rFonts w:ascii="Times New Roman" w:hAnsi="Times New Roman" w:cs="Times New Roman"/>
          <w:spacing w:val="-4"/>
        </w:rPr>
        <w:t xml:space="preserve"> </w:t>
      </w:r>
      <w:r w:rsidRPr="00D45D17">
        <w:rPr>
          <w:rFonts w:ascii="Times New Roman" w:hAnsi="Times New Roman" w:cs="Times New Roman"/>
        </w:rPr>
        <w:t>una</w:t>
      </w:r>
      <w:r w:rsidRPr="00D45D17">
        <w:rPr>
          <w:rFonts w:ascii="Times New Roman" w:hAnsi="Times New Roman" w:cs="Times New Roman"/>
          <w:spacing w:val="-4"/>
        </w:rPr>
        <w:t xml:space="preserve"> </w:t>
      </w:r>
      <w:r w:rsidRPr="00D45D17">
        <w:rPr>
          <w:rFonts w:ascii="Times New Roman" w:hAnsi="Times New Roman" w:cs="Times New Roman"/>
        </w:rPr>
        <w:t>cuantía</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¢574.148.</w:t>
      </w:r>
      <w:r w:rsidRPr="00D45D17">
        <w:rPr>
          <w:rFonts w:ascii="Times New Roman" w:hAnsi="Times New Roman" w:cs="Times New Roman"/>
          <w:spacing w:val="-5"/>
        </w:rPr>
        <w:t xml:space="preserve"> </w:t>
      </w:r>
      <w:r w:rsidRPr="00D45D17">
        <w:rPr>
          <w:rFonts w:ascii="Times New Roman" w:hAnsi="Times New Roman" w:cs="Times New Roman"/>
        </w:rPr>
        <w:t>Al</w:t>
      </w:r>
      <w:r w:rsidRPr="00D45D17">
        <w:rPr>
          <w:rFonts w:ascii="Times New Roman" w:hAnsi="Times New Roman" w:cs="Times New Roman"/>
          <w:spacing w:val="-4"/>
        </w:rPr>
        <w:t xml:space="preserve"> </w:t>
      </w:r>
      <w:r w:rsidRPr="00D45D17">
        <w:rPr>
          <w:rFonts w:ascii="Times New Roman" w:hAnsi="Times New Roman" w:cs="Times New Roman"/>
        </w:rPr>
        <w:t>31 de diciembre de 2022, el monto total provisionado asociado a esas demandas asciende a la suma de ¢25.296 (¢3.379 en el 2021), véase nota 22.</w:t>
      </w:r>
    </w:p>
    <w:p w14:paraId="5C5F0967" w14:textId="77777777" w:rsidR="00CC74F4" w:rsidRPr="00D45D17" w:rsidRDefault="00CC74F4" w:rsidP="00CC74F4">
      <w:pPr>
        <w:pStyle w:val="Textoindependiente"/>
        <w:spacing w:before="1"/>
        <w:rPr>
          <w:rFonts w:ascii="Times New Roman" w:hAnsi="Times New Roman" w:cs="Times New Roman"/>
        </w:rPr>
      </w:pPr>
    </w:p>
    <w:p w14:paraId="44F8A350" w14:textId="77777777" w:rsidR="00CC74F4" w:rsidRPr="00D45D17" w:rsidRDefault="00CC74F4" w:rsidP="00CC74F4">
      <w:pPr>
        <w:pStyle w:val="Textoindependiente"/>
        <w:ind w:left="807" w:right="104" w:hanging="706"/>
        <w:rPr>
          <w:rFonts w:ascii="Times New Roman" w:hAnsi="Times New Roman" w:cs="Times New Roman"/>
        </w:rPr>
      </w:pPr>
      <w:r w:rsidRPr="00D45D17">
        <w:rPr>
          <w:rFonts w:ascii="Times New Roman" w:hAnsi="Times New Roman" w:cs="Times New Roman"/>
        </w:rPr>
        <w:t>Los principales procesos sobre los cuales se ha efectuado una estimación de la cuantía y se ha registrado</w:t>
      </w:r>
      <w:r w:rsidRPr="00D45D17">
        <w:rPr>
          <w:rFonts w:ascii="Times New Roman" w:hAnsi="Times New Roman" w:cs="Times New Roman"/>
          <w:spacing w:val="-4"/>
        </w:rPr>
        <w:t xml:space="preserve"> </w:t>
      </w:r>
      <w:r w:rsidRPr="00D45D17">
        <w:rPr>
          <w:rFonts w:ascii="Times New Roman" w:hAnsi="Times New Roman" w:cs="Times New Roman"/>
        </w:rPr>
        <w:t>una</w:t>
      </w:r>
      <w:r w:rsidRPr="00D45D17">
        <w:rPr>
          <w:rFonts w:ascii="Times New Roman" w:hAnsi="Times New Roman" w:cs="Times New Roman"/>
          <w:spacing w:val="-4"/>
        </w:rPr>
        <w:t xml:space="preserve"> </w:t>
      </w:r>
      <w:r w:rsidRPr="00D45D17">
        <w:rPr>
          <w:rFonts w:ascii="Times New Roman" w:hAnsi="Times New Roman" w:cs="Times New Roman"/>
        </w:rPr>
        <w:t>provisión</w:t>
      </w:r>
      <w:r w:rsidRPr="00D45D17">
        <w:rPr>
          <w:rFonts w:ascii="Times New Roman" w:hAnsi="Times New Roman" w:cs="Times New Roman"/>
          <w:spacing w:val="-7"/>
        </w:rPr>
        <w:t xml:space="preserve"> </w:t>
      </w:r>
      <w:r w:rsidRPr="00D45D17">
        <w:rPr>
          <w:rFonts w:ascii="Times New Roman" w:hAnsi="Times New Roman" w:cs="Times New Roman"/>
        </w:rPr>
        <w:t>en</w:t>
      </w:r>
      <w:r w:rsidRPr="00D45D17">
        <w:rPr>
          <w:rFonts w:ascii="Times New Roman" w:hAnsi="Times New Roman" w:cs="Times New Roman"/>
          <w:spacing w:val="-7"/>
        </w:rPr>
        <w:t xml:space="preserve"> </w:t>
      </w:r>
      <w:r w:rsidRPr="00D45D17">
        <w:rPr>
          <w:rFonts w:ascii="Times New Roman" w:hAnsi="Times New Roman" w:cs="Times New Roman"/>
        </w:rPr>
        <w:t>los</w:t>
      </w:r>
      <w:r w:rsidRPr="00D45D17">
        <w:rPr>
          <w:rFonts w:ascii="Times New Roman" w:hAnsi="Times New Roman" w:cs="Times New Roman"/>
          <w:spacing w:val="-4"/>
        </w:rPr>
        <w:t xml:space="preserve"> </w:t>
      </w:r>
      <w:r w:rsidRPr="00D45D17">
        <w:rPr>
          <w:rFonts w:ascii="Times New Roman" w:hAnsi="Times New Roman" w:cs="Times New Roman"/>
        </w:rPr>
        <w:t>estados</w:t>
      </w:r>
      <w:r w:rsidRPr="00D45D17">
        <w:rPr>
          <w:rFonts w:ascii="Times New Roman" w:hAnsi="Times New Roman" w:cs="Times New Roman"/>
          <w:spacing w:val="-4"/>
        </w:rPr>
        <w:t xml:space="preserve"> </w:t>
      </w:r>
      <w:r w:rsidRPr="00D45D17">
        <w:rPr>
          <w:rFonts w:ascii="Times New Roman" w:hAnsi="Times New Roman" w:cs="Times New Roman"/>
        </w:rPr>
        <w:t>financieros</w:t>
      </w:r>
      <w:r w:rsidRPr="00D45D17">
        <w:rPr>
          <w:rFonts w:ascii="Times New Roman" w:hAnsi="Times New Roman" w:cs="Times New Roman"/>
          <w:spacing w:val="-4"/>
        </w:rPr>
        <w:t xml:space="preserve"> </w:t>
      </w:r>
      <w:r w:rsidRPr="00D45D17">
        <w:rPr>
          <w:rFonts w:ascii="Times New Roman" w:hAnsi="Times New Roman" w:cs="Times New Roman"/>
        </w:rPr>
        <w:t>consolidados</w:t>
      </w:r>
      <w:r w:rsidRPr="00D45D17">
        <w:rPr>
          <w:rFonts w:ascii="Times New Roman" w:hAnsi="Times New Roman" w:cs="Times New Roman"/>
          <w:spacing w:val="-3"/>
        </w:rPr>
        <w:t xml:space="preserve"> </w:t>
      </w:r>
      <w:r w:rsidRPr="00D45D17">
        <w:rPr>
          <w:rFonts w:ascii="Times New Roman" w:hAnsi="Times New Roman" w:cs="Times New Roman"/>
        </w:rPr>
        <w:t>(véase</w:t>
      </w:r>
      <w:r w:rsidRPr="00D45D17">
        <w:rPr>
          <w:rFonts w:ascii="Times New Roman" w:hAnsi="Times New Roman" w:cs="Times New Roman"/>
          <w:spacing w:val="-4"/>
        </w:rPr>
        <w:t xml:space="preserve"> </w:t>
      </w:r>
      <w:r w:rsidRPr="00D45D17">
        <w:rPr>
          <w:rFonts w:ascii="Times New Roman" w:hAnsi="Times New Roman" w:cs="Times New Roman"/>
        </w:rPr>
        <w:t>nota</w:t>
      </w:r>
      <w:r w:rsidRPr="00D45D17">
        <w:rPr>
          <w:rFonts w:ascii="Times New Roman" w:hAnsi="Times New Roman" w:cs="Times New Roman"/>
          <w:spacing w:val="-4"/>
        </w:rPr>
        <w:t xml:space="preserve"> </w:t>
      </w:r>
      <w:r w:rsidRPr="00D45D17">
        <w:rPr>
          <w:rFonts w:ascii="Times New Roman" w:hAnsi="Times New Roman" w:cs="Times New Roman"/>
        </w:rPr>
        <w:t>22),</w:t>
      </w:r>
      <w:r w:rsidRPr="00D45D17">
        <w:rPr>
          <w:rFonts w:ascii="Times New Roman" w:hAnsi="Times New Roman" w:cs="Times New Roman"/>
          <w:spacing w:val="-3"/>
        </w:rPr>
        <w:t xml:space="preserve"> </w:t>
      </w:r>
      <w:r w:rsidRPr="00D45D17">
        <w:rPr>
          <w:rFonts w:ascii="Times New Roman" w:hAnsi="Times New Roman" w:cs="Times New Roman"/>
        </w:rPr>
        <w:t>se</w:t>
      </w:r>
      <w:r w:rsidRPr="00D45D17">
        <w:rPr>
          <w:rFonts w:ascii="Times New Roman" w:hAnsi="Times New Roman" w:cs="Times New Roman"/>
          <w:spacing w:val="-6"/>
        </w:rPr>
        <w:t xml:space="preserve"> </w:t>
      </w:r>
      <w:r w:rsidRPr="00D45D17">
        <w:rPr>
          <w:rFonts w:ascii="Times New Roman" w:hAnsi="Times New Roman" w:cs="Times New Roman"/>
        </w:rPr>
        <w:t>detallan</w:t>
      </w:r>
      <w:r w:rsidRPr="00D45D17">
        <w:rPr>
          <w:rFonts w:ascii="Times New Roman" w:hAnsi="Times New Roman" w:cs="Times New Roman"/>
          <w:spacing w:val="-7"/>
        </w:rPr>
        <w:t xml:space="preserve"> </w:t>
      </w:r>
      <w:r w:rsidRPr="00D45D17">
        <w:rPr>
          <w:rFonts w:ascii="Times New Roman" w:hAnsi="Times New Roman" w:cs="Times New Roman"/>
        </w:rPr>
        <w:t xml:space="preserve">a </w:t>
      </w:r>
      <w:r w:rsidRPr="00D45D17">
        <w:rPr>
          <w:rFonts w:ascii="Times New Roman" w:hAnsi="Times New Roman" w:cs="Times New Roman"/>
          <w:spacing w:val="-2"/>
        </w:rPr>
        <w:t>continuación:</w:t>
      </w:r>
    </w:p>
    <w:p w14:paraId="119E0750" w14:textId="77777777" w:rsidR="00CC74F4" w:rsidRDefault="00CC74F4" w:rsidP="00CC74F4">
      <w:pPr>
        <w:pStyle w:val="Textoindependiente"/>
        <w:spacing w:before="1"/>
      </w:pPr>
    </w:p>
    <w:p w14:paraId="768B33F8" w14:textId="77777777" w:rsidR="00CC74F4" w:rsidRDefault="00CC74F4" w:rsidP="00CC74F4">
      <w:pPr>
        <w:pStyle w:val="Prrafodelista"/>
        <w:widowControl w:val="0"/>
        <w:numPr>
          <w:ilvl w:val="0"/>
          <w:numId w:val="104"/>
        </w:numPr>
        <w:tabs>
          <w:tab w:val="left" w:pos="822"/>
        </w:tabs>
        <w:autoSpaceDE w:val="0"/>
        <w:autoSpaceDN w:val="0"/>
        <w:ind w:left="821" w:right="120"/>
        <w:jc w:val="both"/>
      </w:pPr>
      <w:r>
        <w:t>Proceso de ejecución de sentencia (contencioso), en el cual Hidroflorencia, S.A. solicita el pago por concepto del 10% de la ganancia o beneficio neto que hubiese obtenido la actora durante</w:t>
      </w:r>
      <w:r>
        <w:rPr>
          <w:spacing w:val="-2"/>
        </w:rPr>
        <w:t xml:space="preserve"> </w:t>
      </w:r>
      <w:r>
        <w:t>todo</w:t>
      </w:r>
      <w:r>
        <w:rPr>
          <w:spacing w:val="-2"/>
        </w:rPr>
        <w:t xml:space="preserve"> </w:t>
      </w:r>
      <w:r>
        <w:t>el plazo de vigencia del contrato de compraventa</w:t>
      </w:r>
      <w:r>
        <w:rPr>
          <w:spacing w:val="-2"/>
        </w:rPr>
        <w:t xml:space="preserve"> </w:t>
      </w:r>
      <w:r>
        <w:t>de energía que dispone la Ley 7200 (15 años). Con base en el criterio de sus asesores legales, el importe provisionado para este caso al 31 de diciembre de 2022 es de ¢8.637.</w:t>
      </w:r>
    </w:p>
    <w:p w14:paraId="55559BDE" w14:textId="77777777" w:rsidR="00CC74F4" w:rsidRDefault="00CC74F4" w:rsidP="00CC74F4">
      <w:pPr>
        <w:pStyle w:val="Textoindependiente"/>
        <w:spacing w:before="11"/>
        <w:rPr>
          <w:sz w:val="21"/>
        </w:rPr>
      </w:pPr>
    </w:p>
    <w:p w14:paraId="50496758" w14:textId="77777777" w:rsidR="00CC74F4" w:rsidRDefault="00CC74F4" w:rsidP="00CC74F4">
      <w:pPr>
        <w:pStyle w:val="Prrafodelista"/>
        <w:widowControl w:val="0"/>
        <w:numPr>
          <w:ilvl w:val="0"/>
          <w:numId w:val="104"/>
        </w:numPr>
        <w:tabs>
          <w:tab w:val="left" w:pos="822"/>
        </w:tabs>
        <w:autoSpaceDE w:val="0"/>
        <w:autoSpaceDN w:val="0"/>
        <w:ind w:left="821" w:right="122"/>
        <w:jc w:val="both"/>
      </w:pPr>
      <w:r>
        <w:t>Demanda en el cual se solicita al Grupo ICE nulidad en el proceso administrativo por cobro de</w:t>
      </w:r>
      <w:r>
        <w:rPr>
          <w:spacing w:val="-2"/>
        </w:rPr>
        <w:t xml:space="preserve"> </w:t>
      </w:r>
      <w:r>
        <w:t>multa,</w:t>
      </w:r>
      <w:r>
        <w:rPr>
          <w:spacing w:val="-2"/>
        </w:rPr>
        <w:t xml:space="preserve"> </w:t>
      </w:r>
      <w:r>
        <w:t>abuso</w:t>
      </w:r>
      <w:r>
        <w:rPr>
          <w:spacing w:val="-2"/>
        </w:rPr>
        <w:t xml:space="preserve"> </w:t>
      </w:r>
      <w:r>
        <w:t>de</w:t>
      </w:r>
      <w:r>
        <w:rPr>
          <w:spacing w:val="-2"/>
        </w:rPr>
        <w:t xml:space="preserve"> </w:t>
      </w:r>
      <w:r>
        <w:t>la</w:t>
      </w:r>
      <w:r>
        <w:rPr>
          <w:spacing w:val="-2"/>
        </w:rPr>
        <w:t xml:space="preserve"> </w:t>
      </w:r>
      <w:r>
        <w:t>potestad</w:t>
      </w:r>
      <w:r>
        <w:rPr>
          <w:spacing w:val="-2"/>
        </w:rPr>
        <w:t xml:space="preserve"> </w:t>
      </w:r>
      <w:r>
        <w:t>discrecional</w:t>
      </w:r>
      <w:r>
        <w:rPr>
          <w:spacing w:val="-1"/>
        </w:rPr>
        <w:t xml:space="preserve"> </w:t>
      </w:r>
      <w:r>
        <w:t>en</w:t>
      </w:r>
      <w:r>
        <w:rPr>
          <w:spacing w:val="-2"/>
        </w:rPr>
        <w:t xml:space="preserve"> </w:t>
      </w:r>
      <w:r>
        <w:t>el</w:t>
      </w:r>
      <w:r>
        <w:rPr>
          <w:spacing w:val="-1"/>
        </w:rPr>
        <w:t xml:space="preserve"> </w:t>
      </w:r>
      <w:r>
        <w:t>contrato</w:t>
      </w:r>
      <w:r>
        <w:rPr>
          <w:spacing w:val="-2"/>
        </w:rPr>
        <w:t xml:space="preserve"> </w:t>
      </w:r>
      <w:r>
        <w:t>de</w:t>
      </w:r>
      <w:r>
        <w:rPr>
          <w:spacing w:val="-2"/>
        </w:rPr>
        <w:t xml:space="preserve"> </w:t>
      </w:r>
      <w:r>
        <w:t>compra</w:t>
      </w:r>
      <w:r>
        <w:rPr>
          <w:spacing w:val="-2"/>
        </w:rPr>
        <w:t xml:space="preserve"> </w:t>
      </w:r>
      <w:r>
        <w:t>de</w:t>
      </w:r>
      <w:r>
        <w:rPr>
          <w:spacing w:val="-2"/>
        </w:rPr>
        <w:t xml:space="preserve"> </w:t>
      </w:r>
      <w:r>
        <w:t>energía</w:t>
      </w:r>
      <w:r>
        <w:rPr>
          <w:spacing w:val="-2"/>
        </w:rPr>
        <w:t xml:space="preserve"> </w:t>
      </w:r>
      <w:r>
        <w:t>a</w:t>
      </w:r>
      <w:r>
        <w:rPr>
          <w:spacing w:val="-4"/>
        </w:rPr>
        <w:t xml:space="preserve"> </w:t>
      </w:r>
      <w:r>
        <w:t>Vientos</w:t>
      </w:r>
      <w:r>
        <w:rPr>
          <w:spacing w:val="-2"/>
        </w:rPr>
        <w:t xml:space="preserve"> </w:t>
      </w:r>
      <w:r>
        <w:t>del Volcán S.A. (generador privado) por US$3 (millones de dólares) (equivalentes a ¢1.777).</w:t>
      </w:r>
      <w:r>
        <w:rPr>
          <w:spacing w:val="-2"/>
        </w:rPr>
        <w:t xml:space="preserve"> </w:t>
      </w:r>
      <w:r>
        <w:t>Al cierre de diciembre de 2022 se encuentra pendiente la audiencia preliminar y con base en el criterio de sus asesores legales, el Grupo ICE provisiona ¢1.777 asociado a este litigio.</w:t>
      </w:r>
    </w:p>
    <w:p w14:paraId="2B0E70B0" w14:textId="77777777" w:rsidR="00CC74F4" w:rsidRDefault="00CC74F4" w:rsidP="00CC74F4">
      <w:pPr>
        <w:pStyle w:val="Textoindependiente"/>
        <w:spacing w:before="10"/>
        <w:rPr>
          <w:sz w:val="21"/>
        </w:rPr>
      </w:pPr>
    </w:p>
    <w:p w14:paraId="6405E1FB" w14:textId="77777777" w:rsidR="00CC74F4" w:rsidRDefault="00CC74F4" w:rsidP="00CC74F4">
      <w:pPr>
        <w:pStyle w:val="Prrafodelista"/>
        <w:widowControl w:val="0"/>
        <w:numPr>
          <w:ilvl w:val="0"/>
          <w:numId w:val="104"/>
        </w:numPr>
        <w:tabs>
          <w:tab w:val="left" w:pos="822"/>
        </w:tabs>
        <w:autoSpaceDE w:val="0"/>
        <w:autoSpaceDN w:val="0"/>
        <w:ind w:left="821" w:right="121"/>
        <w:jc w:val="both"/>
      </w:pPr>
      <w:r>
        <w:t>Demanda en la cual se solicita que el Grupo ICE reintegre US$4,6 (millones de dólares) (equivalentes a ¢1.744) pactados por la compra de Cable Visión el 05 de diciembre de 2013, que responden a contingencias fiscales por cancelar a la Administración Tributaria, con ocasión</w:t>
      </w:r>
      <w:r>
        <w:rPr>
          <w:spacing w:val="-1"/>
        </w:rPr>
        <w:t xml:space="preserve"> </w:t>
      </w:r>
      <w:r>
        <w:t>de</w:t>
      </w:r>
      <w:r>
        <w:rPr>
          <w:spacing w:val="-1"/>
        </w:rPr>
        <w:t xml:space="preserve"> </w:t>
      </w:r>
      <w:r>
        <w:t>los</w:t>
      </w:r>
      <w:r>
        <w:rPr>
          <w:spacing w:val="-1"/>
        </w:rPr>
        <w:t xml:space="preserve"> </w:t>
      </w:r>
      <w:r>
        <w:t>periodos</w:t>
      </w:r>
      <w:r>
        <w:rPr>
          <w:spacing w:val="-1"/>
        </w:rPr>
        <w:t xml:space="preserve"> </w:t>
      </w:r>
      <w:r>
        <w:t>fiscales</w:t>
      </w:r>
      <w:r>
        <w:rPr>
          <w:spacing w:val="-1"/>
        </w:rPr>
        <w:t xml:space="preserve"> </w:t>
      </w:r>
      <w:r>
        <w:t>de</w:t>
      </w:r>
      <w:r>
        <w:rPr>
          <w:spacing w:val="-1"/>
        </w:rPr>
        <w:t xml:space="preserve"> </w:t>
      </w:r>
      <w:r>
        <w:t>esa</w:t>
      </w:r>
      <w:r>
        <w:rPr>
          <w:spacing w:val="-1"/>
        </w:rPr>
        <w:t xml:space="preserve"> </w:t>
      </w:r>
      <w:r>
        <w:t>empresa</w:t>
      </w:r>
      <w:r>
        <w:rPr>
          <w:spacing w:val="-1"/>
        </w:rPr>
        <w:t xml:space="preserve"> </w:t>
      </w:r>
      <w:r>
        <w:t>previos</w:t>
      </w:r>
      <w:r>
        <w:rPr>
          <w:spacing w:val="-3"/>
        </w:rPr>
        <w:t xml:space="preserve"> </w:t>
      </w:r>
      <w:r>
        <w:t>a</w:t>
      </w:r>
      <w:r>
        <w:rPr>
          <w:spacing w:val="-1"/>
        </w:rPr>
        <w:t xml:space="preserve"> </w:t>
      </w:r>
      <w:r>
        <w:t>su</w:t>
      </w:r>
      <w:r>
        <w:rPr>
          <w:spacing w:val="-1"/>
        </w:rPr>
        <w:t xml:space="preserve"> </w:t>
      </w:r>
      <w:r>
        <w:t>venta.</w:t>
      </w:r>
      <w:r>
        <w:rPr>
          <w:spacing w:val="-1"/>
        </w:rPr>
        <w:t xml:space="preserve"> </w:t>
      </w:r>
      <w:r>
        <w:t>El Grupo</w:t>
      </w:r>
      <w:r>
        <w:rPr>
          <w:spacing w:val="-1"/>
        </w:rPr>
        <w:t xml:space="preserve"> </w:t>
      </w:r>
      <w:r>
        <w:t>ICE</w:t>
      </w:r>
      <w:r>
        <w:rPr>
          <w:spacing w:val="-1"/>
        </w:rPr>
        <w:t xml:space="preserve"> </w:t>
      </w:r>
      <w:r>
        <w:t>se</w:t>
      </w:r>
      <w:r>
        <w:rPr>
          <w:spacing w:val="-1"/>
        </w:rPr>
        <w:t xml:space="preserve"> </w:t>
      </w:r>
      <w:r>
        <w:t>opone</w:t>
      </w:r>
      <w:r>
        <w:rPr>
          <w:spacing w:val="-1"/>
        </w:rPr>
        <w:t xml:space="preserve"> </w:t>
      </w:r>
      <w:r>
        <w:t>al importe de la demanda, ya que a dicho monto se le deben aplicar las deducciones por la cancelación</w:t>
      </w:r>
      <w:r>
        <w:rPr>
          <w:spacing w:val="-14"/>
        </w:rPr>
        <w:t xml:space="preserve"> </w:t>
      </w:r>
      <w:r>
        <w:t>de</w:t>
      </w:r>
      <w:r>
        <w:rPr>
          <w:spacing w:val="-14"/>
        </w:rPr>
        <w:t xml:space="preserve"> </w:t>
      </w:r>
      <w:r>
        <w:t>los</w:t>
      </w:r>
      <w:r>
        <w:rPr>
          <w:spacing w:val="-14"/>
        </w:rPr>
        <w:t xml:space="preserve"> </w:t>
      </w:r>
      <w:r>
        <w:t>periodos</w:t>
      </w:r>
      <w:r>
        <w:rPr>
          <w:spacing w:val="-13"/>
        </w:rPr>
        <w:t xml:space="preserve"> </w:t>
      </w:r>
      <w:r>
        <w:t>de</w:t>
      </w:r>
      <w:r>
        <w:rPr>
          <w:spacing w:val="-14"/>
        </w:rPr>
        <w:t xml:space="preserve"> </w:t>
      </w:r>
      <w:r>
        <w:t>2010</w:t>
      </w:r>
      <w:r>
        <w:rPr>
          <w:spacing w:val="-14"/>
        </w:rPr>
        <w:t xml:space="preserve"> </w:t>
      </w:r>
      <w:r>
        <w:t>al</w:t>
      </w:r>
      <w:r>
        <w:rPr>
          <w:spacing w:val="-14"/>
        </w:rPr>
        <w:t xml:space="preserve"> </w:t>
      </w:r>
      <w:r>
        <w:t>2013.</w:t>
      </w:r>
      <w:r>
        <w:rPr>
          <w:spacing w:val="-13"/>
        </w:rPr>
        <w:t xml:space="preserve"> </w:t>
      </w:r>
      <w:r>
        <w:t>Al</w:t>
      </w:r>
      <w:r>
        <w:rPr>
          <w:spacing w:val="-14"/>
        </w:rPr>
        <w:t xml:space="preserve"> </w:t>
      </w:r>
      <w:r>
        <w:t>cierre</w:t>
      </w:r>
      <w:r>
        <w:rPr>
          <w:spacing w:val="-14"/>
        </w:rPr>
        <w:t xml:space="preserve"> </w:t>
      </w:r>
      <w:r>
        <w:t>de</w:t>
      </w:r>
      <w:r>
        <w:rPr>
          <w:spacing w:val="-14"/>
        </w:rPr>
        <w:t xml:space="preserve"> </w:t>
      </w:r>
      <w:r>
        <w:t>diciembre</w:t>
      </w:r>
      <w:r>
        <w:rPr>
          <w:spacing w:val="-13"/>
        </w:rPr>
        <w:t xml:space="preserve"> </w:t>
      </w:r>
      <w:r>
        <w:t>de</w:t>
      </w:r>
      <w:r>
        <w:rPr>
          <w:spacing w:val="-14"/>
        </w:rPr>
        <w:t xml:space="preserve"> </w:t>
      </w:r>
      <w:r>
        <w:t>2022,</w:t>
      </w:r>
      <w:r>
        <w:rPr>
          <w:spacing w:val="-14"/>
        </w:rPr>
        <w:t xml:space="preserve"> </w:t>
      </w:r>
      <w:r>
        <w:t>se</w:t>
      </w:r>
      <w:r>
        <w:rPr>
          <w:spacing w:val="-14"/>
        </w:rPr>
        <w:t xml:space="preserve"> </w:t>
      </w:r>
      <w:r>
        <w:t>está</w:t>
      </w:r>
      <w:r>
        <w:rPr>
          <w:spacing w:val="-13"/>
        </w:rPr>
        <w:t xml:space="preserve"> </w:t>
      </w:r>
      <w:r>
        <w:t>a</w:t>
      </w:r>
      <w:r>
        <w:rPr>
          <w:spacing w:val="-14"/>
        </w:rPr>
        <w:t xml:space="preserve"> </w:t>
      </w:r>
      <w:r>
        <w:t>la</w:t>
      </w:r>
      <w:r>
        <w:rPr>
          <w:spacing w:val="-14"/>
        </w:rPr>
        <w:t xml:space="preserve"> </w:t>
      </w:r>
      <w:r>
        <w:t>espera de</w:t>
      </w:r>
      <w:r>
        <w:rPr>
          <w:spacing w:val="-9"/>
        </w:rPr>
        <w:t xml:space="preserve"> </w:t>
      </w:r>
      <w:r>
        <w:t>la</w:t>
      </w:r>
      <w:r>
        <w:rPr>
          <w:spacing w:val="-9"/>
        </w:rPr>
        <w:t xml:space="preserve"> </w:t>
      </w:r>
      <w:r>
        <w:t>audiencia</w:t>
      </w:r>
      <w:r>
        <w:rPr>
          <w:spacing w:val="-9"/>
        </w:rPr>
        <w:t xml:space="preserve"> </w:t>
      </w:r>
      <w:r>
        <w:t>por</w:t>
      </w:r>
      <w:r>
        <w:rPr>
          <w:spacing w:val="-11"/>
        </w:rPr>
        <w:t xml:space="preserve"> </w:t>
      </w:r>
      <w:r>
        <w:t>parte</w:t>
      </w:r>
      <w:r>
        <w:rPr>
          <w:spacing w:val="-12"/>
        </w:rPr>
        <w:t xml:space="preserve"> </w:t>
      </w:r>
      <w:r>
        <w:t>del</w:t>
      </w:r>
      <w:r>
        <w:rPr>
          <w:spacing w:val="-11"/>
        </w:rPr>
        <w:t xml:space="preserve"> </w:t>
      </w:r>
      <w:r>
        <w:t>Tribunal.</w:t>
      </w:r>
      <w:r>
        <w:rPr>
          <w:spacing w:val="-10"/>
        </w:rPr>
        <w:t xml:space="preserve"> </w:t>
      </w:r>
      <w:r>
        <w:t>Con</w:t>
      </w:r>
      <w:r>
        <w:rPr>
          <w:spacing w:val="-10"/>
        </w:rPr>
        <w:t xml:space="preserve"> </w:t>
      </w:r>
      <w:r>
        <w:t>base</w:t>
      </w:r>
      <w:r>
        <w:rPr>
          <w:spacing w:val="-11"/>
        </w:rPr>
        <w:t xml:space="preserve"> </w:t>
      </w:r>
      <w:r>
        <w:t>en</w:t>
      </w:r>
      <w:r>
        <w:rPr>
          <w:spacing w:val="-9"/>
        </w:rPr>
        <w:t xml:space="preserve"> </w:t>
      </w:r>
      <w:r>
        <w:t>el</w:t>
      </w:r>
      <w:r>
        <w:rPr>
          <w:spacing w:val="-11"/>
        </w:rPr>
        <w:t xml:space="preserve"> </w:t>
      </w:r>
      <w:r>
        <w:t>criterio</w:t>
      </w:r>
      <w:r>
        <w:rPr>
          <w:spacing w:val="-12"/>
        </w:rPr>
        <w:t xml:space="preserve"> </w:t>
      </w:r>
      <w:r>
        <w:t>de</w:t>
      </w:r>
      <w:r>
        <w:rPr>
          <w:spacing w:val="-12"/>
        </w:rPr>
        <w:t xml:space="preserve"> </w:t>
      </w:r>
      <w:r>
        <w:t>sus</w:t>
      </w:r>
      <w:r>
        <w:rPr>
          <w:spacing w:val="-11"/>
        </w:rPr>
        <w:t xml:space="preserve"> </w:t>
      </w:r>
      <w:r>
        <w:t>asesores</w:t>
      </w:r>
      <w:r>
        <w:rPr>
          <w:spacing w:val="-11"/>
        </w:rPr>
        <w:t xml:space="preserve"> </w:t>
      </w:r>
      <w:r>
        <w:t>legales,</w:t>
      </w:r>
      <w:r>
        <w:rPr>
          <w:spacing w:val="-10"/>
        </w:rPr>
        <w:t xml:space="preserve"> </w:t>
      </w:r>
      <w:r>
        <w:t>el</w:t>
      </w:r>
      <w:r>
        <w:rPr>
          <w:spacing w:val="-8"/>
        </w:rPr>
        <w:t xml:space="preserve"> </w:t>
      </w:r>
      <w:r>
        <w:t>Grupo ICE</w:t>
      </w:r>
      <w:r>
        <w:rPr>
          <w:spacing w:val="-10"/>
        </w:rPr>
        <w:t xml:space="preserve"> </w:t>
      </w:r>
      <w:r>
        <w:t>ha</w:t>
      </w:r>
      <w:r>
        <w:rPr>
          <w:spacing w:val="-9"/>
        </w:rPr>
        <w:t xml:space="preserve"> </w:t>
      </w:r>
      <w:r>
        <w:t>provisionado</w:t>
      </w:r>
      <w:r>
        <w:rPr>
          <w:spacing w:val="-10"/>
        </w:rPr>
        <w:t xml:space="preserve"> </w:t>
      </w:r>
      <w:r>
        <w:t>al</w:t>
      </w:r>
      <w:r>
        <w:rPr>
          <w:spacing w:val="-8"/>
        </w:rPr>
        <w:t xml:space="preserve"> </w:t>
      </w:r>
      <w:r>
        <w:t>31</w:t>
      </w:r>
      <w:r>
        <w:rPr>
          <w:spacing w:val="-10"/>
        </w:rPr>
        <w:t xml:space="preserve"> </w:t>
      </w:r>
      <w:r>
        <w:t>de</w:t>
      </w:r>
      <w:r>
        <w:rPr>
          <w:spacing w:val="-9"/>
        </w:rPr>
        <w:t xml:space="preserve"> </w:t>
      </w:r>
      <w:r>
        <w:t>diciembre</w:t>
      </w:r>
      <w:r>
        <w:rPr>
          <w:spacing w:val="-9"/>
        </w:rPr>
        <w:t xml:space="preserve"> </w:t>
      </w:r>
      <w:r>
        <w:t>de</w:t>
      </w:r>
      <w:r>
        <w:rPr>
          <w:spacing w:val="-9"/>
        </w:rPr>
        <w:t xml:space="preserve"> </w:t>
      </w:r>
      <w:r>
        <w:t>2022,</w:t>
      </w:r>
      <w:r>
        <w:rPr>
          <w:spacing w:val="-10"/>
        </w:rPr>
        <w:t xml:space="preserve"> </w:t>
      </w:r>
      <w:r>
        <w:t>un</w:t>
      </w:r>
      <w:r>
        <w:rPr>
          <w:spacing w:val="-10"/>
        </w:rPr>
        <w:t xml:space="preserve"> </w:t>
      </w:r>
      <w:r>
        <w:t>monto</w:t>
      </w:r>
      <w:r>
        <w:rPr>
          <w:spacing w:val="-10"/>
        </w:rPr>
        <w:t xml:space="preserve"> </w:t>
      </w:r>
      <w:r>
        <w:t>de</w:t>
      </w:r>
      <w:r>
        <w:rPr>
          <w:spacing w:val="-9"/>
        </w:rPr>
        <w:t xml:space="preserve"> </w:t>
      </w:r>
      <w:r>
        <w:t>¢1.744</w:t>
      </w:r>
      <w:r>
        <w:rPr>
          <w:spacing w:val="-10"/>
        </w:rPr>
        <w:t xml:space="preserve"> </w:t>
      </w:r>
      <w:r>
        <w:t>asociado</w:t>
      </w:r>
      <w:r>
        <w:rPr>
          <w:spacing w:val="-9"/>
        </w:rPr>
        <w:t xml:space="preserve"> </w:t>
      </w:r>
      <w:r>
        <w:t>a</w:t>
      </w:r>
      <w:r>
        <w:rPr>
          <w:spacing w:val="-9"/>
        </w:rPr>
        <w:t xml:space="preserve"> </w:t>
      </w:r>
      <w:r>
        <w:t>la</w:t>
      </w:r>
      <w:r>
        <w:rPr>
          <w:spacing w:val="-12"/>
        </w:rPr>
        <w:t xml:space="preserve"> </w:t>
      </w:r>
      <w:r>
        <w:t>resolución de este litigio (¢1.875 en el 2021).</w:t>
      </w:r>
    </w:p>
    <w:p w14:paraId="50BB566A" w14:textId="77777777" w:rsidR="00CC74F4" w:rsidRDefault="00CC74F4" w:rsidP="00CC74F4">
      <w:pPr>
        <w:pStyle w:val="Textoindependiente"/>
        <w:spacing w:before="3"/>
      </w:pPr>
    </w:p>
    <w:p w14:paraId="3DEF007E" w14:textId="77777777" w:rsidR="00CC74F4" w:rsidRDefault="00CC74F4" w:rsidP="00CC74F4">
      <w:pPr>
        <w:pStyle w:val="Prrafodelista"/>
        <w:widowControl w:val="0"/>
        <w:numPr>
          <w:ilvl w:val="0"/>
          <w:numId w:val="104"/>
        </w:numPr>
        <w:tabs>
          <w:tab w:val="left" w:pos="808"/>
        </w:tabs>
        <w:autoSpaceDE w:val="0"/>
        <w:autoSpaceDN w:val="0"/>
        <w:ind w:left="807" w:right="103" w:hanging="706"/>
        <w:jc w:val="both"/>
      </w:pPr>
      <w:r>
        <w:t>Proceso</w:t>
      </w:r>
      <w:r>
        <w:rPr>
          <w:spacing w:val="-2"/>
        </w:rPr>
        <w:t xml:space="preserve"> </w:t>
      </w:r>
      <w:r>
        <w:t>de</w:t>
      </w:r>
      <w:r>
        <w:rPr>
          <w:spacing w:val="-2"/>
        </w:rPr>
        <w:t xml:space="preserve"> </w:t>
      </w:r>
      <w:r>
        <w:t>ejecución</w:t>
      </w:r>
      <w:r>
        <w:rPr>
          <w:spacing w:val="-2"/>
        </w:rPr>
        <w:t xml:space="preserve"> </w:t>
      </w:r>
      <w:r>
        <w:t>de</w:t>
      </w:r>
      <w:r>
        <w:rPr>
          <w:spacing w:val="-2"/>
        </w:rPr>
        <w:t xml:space="preserve"> </w:t>
      </w:r>
      <w:r>
        <w:t>sentencia</w:t>
      </w:r>
      <w:r>
        <w:rPr>
          <w:spacing w:val="-2"/>
        </w:rPr>
        <w:t xml:space="preserve"> </w:t>
      </w:r>
      <w:r>
        <w:t>(contencioso),</w:t>
      </w:r>
      <w:r>
        <w:rPr>
          <w:spacing w:val="-2"/>
        </w:rPr>
        <w:t xml:space="preserve"> </w:t>
      </w:r>
      <w:r>
        <w:t>en</w:t>
      </w:r>
      <w:r>
        <w:rPr>
          <w:spacing w:val="-2"/>
        </w:rPr>
        <w:t xml:space="preserve"> </w:t>
      </w:r>
      <w:r>
        <w:t>el</w:t>
      </w:r>
      <w:r>
        <w:rPr>
          <w:spacing w:val="-4"/>
        </w:rPr>
        <w:t xml:space="preserve"> </w:t>
      </w:r>
      <w:r>
        <w:t>cual</w:t>
      </w:r>
      <w:r>
        <w:rPr>
          <w:spacing w:val="-1"/>
        </w:rPr>
        <w:t xml:space="preserve"> </w:t>
      </w:r>
      <w:r>
        <w:t>Hidroeléctrica</w:t>
      </w:r>
      <w:r>
        <w:rPr>
          <w:spacing w:val="-2"/>
        </w:rPr>
        <w:t xml:space="preserve"> </w:t>
      </w:r>
      <w:r>
        <w:t>de</w:t>
      </w:r>
      <w:r>
        <w:rPr>
          <w:spacing w:val="-2"/>
        </w:rPr>
        <w:t xml:space="preserve"> </w:t>
      </w:r>
      <w:r>
        <w:t>Parismina,</w:t>
      </w:r>
      <w:r>
        <w:rPr>
          <w:spacing w:val="-2"/>
        </w:rPr>
        <w:t xml:space="preserve"> </w:t>
      </w:r>
      <w:r>
        <w:t>S.A. y Proveedora de Servicios Eléctricos de Guácimo PSEG Limitada, presentaron una demanda para</w:t>
      </w:r>
      <w:r>
        <w:rPr>
          <w:spacing w:val="-2"/>
        </w:rPr>
        <w:t xml:space="preserve"> </w:t>
      </w:r>
      <w:r>
        <w:t>establecer</w:t>
      </w:r>
      <w:r>
        <w:rPr>
          <w:spacing w:val="-2"/>
        </w:rPr>
        <w:t xml:space="preserve"> </w:t>
      </w:r>
      <w:r>
        <w:t>la</w:t>
      </w:r>
      <w:r>
        <w:rPr>
          <w:spacing w:val="-2"/>
        </w:rPr>
        <w:t xml:space="preserve"> </w:t>
      </w:r>
      <w:r>
        <w:t>responsabilidad</w:t>
      </w:r>
      <w:r>
        <w:rPr>
          <w:spacing w:val="-2"/>
        </w:rPr>
        <w:t xml:space="preserve"> </w:t>
      </w:r>
      <w:r>
        <w:t>del Grupo</w:t>
      </w:r>
      <w:r>
        <w:rPr>
          <w:spacing w:val="-2"/>
        </w:rPr>
        <w:t xml:space="preserve"> </w:t>
      </w:r>
      <w:r>
        <w:t>ICE por</w:t>
      </w:r>
      <w:r>
        <w:rPr>
          <w:spacing w:val="-4"/>
        </w:rPr>
        <w:t xml:space="preserve"> </w:t>
      </w:r>
      <w:r>
        <w:t>haber</w:t>
      </w:r>
      <w:r>
        <w:rPr>
          <w:spacing w:val="-2"/>
        </w:rPr>
        <w:t xml:space="preserve"> </w:t>
      </w:r>
      <w:r>
        <w:t>rescindido</w:t>
      </w:r>
      <w:r>
        <w:rPr>
          <w:spacing w:val="-2"/>
        </w:rPr>
        <w:t xml:space="preserve"> </w:t>
      </w:r>
      <w:r>
        <w:t>en</w:t>
      </w:r>
      <w:r>
        <w:rPr>
          <w:spacing w:val="-2"/>
        </w:rPr>
        <w:t xml:space="preserve"> </w:t>
      </w:r>
      <w:r>
        <w:t>forma</w:t>
      </w:r>
      <w:r>
        <w:rPr>
          <w:spacing w:val="-2"/>
        </w:rPr>
        <w:t xml:space="preserve"> </w:t>
      </w:r>
      <w:r>
        <w:t>unilateral</w:t>
      </w:r>
      <w:r>
        <w:rPr>
          <w:spacing w:val="-1"/>
        </w:rPr>
        <w:t xml:space="preserve"> </w:t>
      </w:r>
      <w:r>
        <w:t>las cartas</w:t>
      </w:r>
      <w:r>
        <w:rPr>
          <w:spacing w:val="-11"/>
        </w:rPr>
        <w:t xml:space="preserve"> </w:t>
      </w:r>
      <w:r>
        <w:t>de</w:t>
      </w:r>
      <w:r>
        <w:rPr>
          <w:spacing w:val="-12"/>
        </w:rPr>
        <w:t xml:space="preserve"> </w:t>
      </w:r>
      <w:r>
        <w:t>compromiso</w:t>
      </w:r>
      <w:r>
        <w:rPr>
          <w:spacing w:val="-11"/>
        </w:rPr>
        <w:t xml:space="preserve"> </w:t>
      </w:r>
      <w:r>
        <w:t>pactadas</w:t>
      </w:r>
      <w:r>
        <w:rPr>
          <w:spacing w:val="-11"/>
        </w:rPr>
        <w:t xml:space="preserve"> </w:t>
      </w:r>
      <w:r>
        <w:t>en</w:t>
      </w:r>
      <w:r>
        <w:rPr>
          <w:spacing w:val="-12"/>
        </w:rPr>
        <w:t xml:space="preserve"> </w:t>
      </w:r>
      <w:r>
        <w:t>el</w:t>
      </w:r>
      <w:r>
        <w:rPr>
          <w:spacing w:val="-11"/>
        </w:rPr>
        <w:t xml:space="preserve"> </w:t>
      </w:r>
      <w:r>
        <w:t>desarrollo</w:t>
      </w:r>
      <w:r>
        <w:rPr>
          <w:spacing w:val="-12"/>
        </w:rPr>
        <w:t xml:space="preserve"> </w:t>
      </w:r>
      <w:r>
        <w:t>del</w:t>
      </w:r>
      <w:r>
        <w:rPr>
          <w:spacing w:val="-11"/>
        </w:rPr>
        <w:t xml:space="preserve"> </w:t>
      </w:r>
      <w:r>
        <w:t>proyecto</w:t>
      </w:r>
      <w:r>
        <w:rPr>
          <w:spacing w:val="-12"/>
        </w:rPr>
        <w:t xml:space="preserve"> </w:t>
      </w:r>
      <w:r>
        <w:t>Hidroeléctrico</w:t>
      </w:r>
      <w:r>
        <w:rPr>
          <w:spacing w:val="-12"/>
        </w:rPr>
        <w:t xml:space="preserve"> </w:t>
      </w:r>
      <w:r>
        <w:t>de</w:t>
      </w:r>
      <w:r>
        <w:rPr>
          <w:spacing w:val="-12"/>
        </w:rPr>
        <w:t xml:space="preserve"> </w:t>
      </w:r>
      <w:r>
        <w:t>Parismina,</w:t>
      </w:r>
      <w:r>
        <w:rPr>
          <w:spacing w:val="-12"/>
        </w:rPr>
        <w:t xml:space="preserve"> </w:t>
      </w:r>
      <w:r>
        <w:t>S.A. El</w:t>
      </w:r>
      <w:r>
        <w:rPr>
          <w:spacing w:val="-8"/>
        </w:rPr>
        <w:t xml:space="preserve"> </w:t>
      </w:r>
      <w:r>
        <w:t>caso</w:t>
      </w:r>
      <w:r>
        <w:rPr>
          <w:spacing w:val="-9"/>
        </w:rPr>
        <w:t xml:space="preserve"> </w:t>
      </w:r>
      <w:r>
        <w:t>se</w:t>
      </w:r>
      <w:r>
        <w:rPr>
          <w:spacing w:val="-8"/>
        </w:rPr>
        <w:t xml:space="preserve"> </w:t>
      </w:r>
      <w:r>
        <w:t>encuentra</w:t>
      </w:r>
      <w:r>
        <w:rPr>
          <w:spacing w:val="-9"/>
        </w:rPr>
        <w:t xml:space="preserve"> </w:t>
      </w:r>
      <w:r>
        <w:t>a</w:t>
      </w:r>
      <w:r>
        <w:rPr>
          <w:spacing w:val="-8"/>
        </w:rPr>
        <w:t xml:space="preserve"> </w:t>
      </w:r>
      <w:r>
        <w:t>la</w:t>
      </w:r>
      <w:r>
        <w:rPr>
          <w:spacing w:val="-9"/>
        </w:rPr>
        <w:t xml:space="preserve"> </w:t>
      </w:r>
      <w:r>
        <w:t>espera</w:t>
      </w:r>
      <w:r>
        <w:rPr>
          <w:spacing w:val="-8"/>
        </w:rPr>
        <w:t xml:space="preserve"> </w:t>
      </w:r>
      <w:r>
        <w:t>de</w:t>
      </w:r>
      <w:r>
        <w:rPr>
          <w:spacing w:val="-9"/>
        </w:rPr>
        <w:t xml:space="preserve"> </w:t>
      </w:r>
      <w:r>
        <w:t>la</w:t>
      </w:r>
      <w:r>
        <w:rPr>
          <w:spacing w:val="-8"/>
        </w:rPr>
        <w:t xml:space="preserve"> </w:t>
      </w:r>
      <w:r>
        <w:t>resolución</w:t>
      </w:r>
      <w:r>
        <w:rPr>
          <w:spacing w:val="-9"/>
        </w:rPr>
        <w:t xml:space="preserve"> </w:t>
      </w:r>
      <w:r>
        <w:t>de</w:t>
      </w:r>
      <w:r>
        <w:rPr>
          <w:spacing w:val="-8"/>
        </w:rPr>
        <w:t xml:space="preserve"> </w:t>
      </w:r>
      <w:r>
        <w:t>la</w:t>
      </w:r>
      <w:r>
        <w:rPr>
          <w:spacing w:val="-9"/>
        </w:rPr>
        <w:t xml:space="preserve"> </w:t>
      </w:r>
      <w:r>
        <w:t>Sala</w:t>
      </w:r>
      <w:r>
        <w:rPr>
          <w:spacing w:val="-8"/>
        </w:rPr>
        <w:t xml:space="preserve"> </w:t>
      </w:r>
      <w:r>
        <w:t>Primera</w:t>
      </w:r>
      <w:r>
        <w:rPr>
          <w:spacing w:val="-9"/>
        </w:rPr>
        <w:t xml:space="preserve"> </w:t>
      </w:r>
      <w:r>
        <w:t>ante</w:t>
      </w:r>
      <w:r>
        <w:rPr>
          <w:spacing w:val="-11"/>
        </w:rPr>
        <w:t xml:space="preserve"> </w:t>
      </w:r>
      <w:r>
        <w:t>la</w:t>
      </w:r>
      <w:r>
        <w:rPr>
          <w:spacing w:val="-8"/>
        </w:rPr>
        <w:t xml:space="preserve"> </w:t>
      </w:r>
      <w:r>
        <w:t>respuesta</w:t>
      </w:r>
      <w:r>
        <w:rPr>
          <w:spacing w:val="-9"/>
        </w:rPr>
        <w:t xml:space="preserve"> </w:t>
      </w:r>
      <w:r>
        <w:t>del</w:t>
      </w:r>
      <w:r>
        <w:rPr>
          <w:spacing w:val="-3"/>
        </w:rPr>
        <w:t xml:space="preserve"> </w:t>
      </w:r>
      <w:r>
        <w:t>Grupo ICE a la audiencia del recurso de casación, interpuesta por la parte actora. Asociado a este litigio, con base en el criterio de sus asesores legales, el Grupo ICE ha provisionado al 31 de diciembre de 2022 y de 2021 un monto de ¢350.</w:t>
      </w:r>
    </w:p>
    <w:p w14:paraId="3D3FBCCA" w14:textId="77777777" w:rsidR="00CC74F4" w:rsidRDefault="00CC74F4" w:rsidP="00CC74F4">
      <w:pPr>
        <w:pStyle w:val="Textoindependiente"/>
        <w:rPr>
          <w:sz w:val="20"/>
        </w:rPr>
      </w:pPr>
    </w:p>
    <w:p w14:paraId="513A57F7" w14:textId="77777777" w:rsidR="00CC74F4" w:rsidRDefault="00CC74F4" w:rsidP="00CC74F4">
      <w:pPr>
        <w:pStyle w:val="Textoindependiente"/>
        <w:spacing w:before="5"/>
      </w:pPr>
    </w:p>
    <w:p w14:paraId="464D7C9E" w14:textId="77777777" w:rsidR="00CC74F4" w:rsidRDefault="00CC74F4" w:rsidP="00CC74F4">
      <w:pPr>
        <w:pStyle w:val="Prrafodelista"/>
        <w:widowControl w:val="0"/>
        <w:numPr>
          <w:ilvl w:val="0"/>
          <w:numId w:val="104"/>
        </w:numPr>
        <w:tabs>
          <w:tab w:val="left" w:pos="808"/>
        </w:tabs>
        <w:autoSpaceDE w:val="0"/>
        <w:autoSpaceDN w:val="0"/>
        <w:ind w:left="807" w:right="103" w:hanging="706"/>
        <w:jc w:val="both"/>
      </w:pPr>
      <w:r>
        <w:t>Proceso ordinario contencioso, en el cual se solicita que Cable Visión reintegre el cobro de multas,</w:t>
      </w:r>
      <w:r>
        <w:rPr>
          <w:spacing w:val="-5"/>
        </w:rPr>
        <w:t xml:space="preserve"> </w:t>
      </w:r>
      <w:r>
        <w:t>terminación</w:t>
      </w:r>
      <w:r>
        <w:rPr>
          <w:spacing w:val="-6"/>
        </w:rPr>
        <w:t xml:space="preserve"> </w:t>
      </w:r>
      <w:r>
        <w:t>anticipada</w:t>
      </w:r>
      <w:r>
        <w:rPr>
          <w:spacing w:val="-5"/>
        </w:rPr>
        <w:t xml:space="preserve"> </w:t>
      </w:r>
      <w:r>
        <w:t>y</w:t>
      </w:r>
      <w:r>
        <w:rPr>
          <w:spacing w:val="-6"/>
        </w:rPr>
        <w:t xml:space="preserve"> </w:t>
      </w:r>
      <w:r>
        <w:t>ejecución</w:t>
      </w:r>
      <w:r>
        <w:rPr>
          <w:spacing w:val="-6"/>
        </w:rPr>
        <w:t xml:space="preserve"> </w:t>
      </w:r>
      <w:r>
        <w:t>de</w:t>
      </w:r>
      <w:r>
        <w:rPr>
          <w:spacing w:val="-5"/>
        </w:rPr>
        <w:t xml:space="preserve"> </w:t>
      </w:r>
      <w:r>
        <w:t>garantías.</w:t>
      </w:r>
      <w:r>
        <w:rPr>
          <w:spacing w:val="-5"/>
        </w:rPr>
        <w:t xml:space="preserve"> </w:t>
      </w:r>
      <w:r>
        <w:t>Dicha</w:t>
      </w:r>
      <w:r>
        <w:rPr>
          <w:spacing w:val="-5"/>
        </w:rPr>
        <w:t xml:space="preserve"> </w:t>
      </w:r>
      <w:r>
        <w:t>demanda</w:t>
      </w:r>
      <w:r>
        <w:rPr>
          <w:spacing w:val="-7"/>
        </w:rPr>
        <w:t xml:space="preserve"> </w:t>
      </w:r>
      <w:r>
        <w:t>fue</w:t>
      </w:r>
      <w:r>
        <w:rPr>
          <w:spacing w:val="-5"/>
        </w:rPr>
        <w:t xml:space="preserve"> </w:t>
      </w:r>
      <w:r>
        <w:t>contestada</w:t>
      </w:r>
      <w:r>
        <w:rPr>
          <w:spacing w:val="-5"/>
        </w:rPr>
        <w:t xml:space="preserve"> </w:t>
      </w:r>
      <w:r>
        <w:t>por</w:t>
      </w:r>
      <w:r>
        <w:rPr>
          <w:spacing w:val="-7"/>
        </w:rPr>
        <w:t xml:space="preserve"> </w:t>
      </w:r>
      <w:r>
        <w:t>el Grupo ICE en nombre de Cable Visión, se atendió audiencia y se presentó escrito sobre argumentos del Acuerdo cesión – confidencial. Al 31 de diciembre de 2022 y de 2021, con base en el criterio de sus asesores legales, el Grupo ICE ha provisionado el importe de ¢201 asociado a este litigio.</w:t>
      </w:r>
    </w:p>
    <w:p w14:paraId="25B283BB" w14:textId="77777777" w:rsidR="00CC74F4" w:rsidRDefault="00CC74F4" w:rsidP="00CC74F4">
      <w:pPr>
        <w:pStyle w:val="Textoindependiente"/>
      </w:pPr>
    </w:p>
    <w:p w14:paraId="4C74579A" w14:textId="77777777" w:rsidR="00CC74F4" w:rsidRDefault="00CC74F4" w:rsidP="00CC74F4">
      <w:pPr>
        <w:pStyle w:val="Prrafodelista"/>
        <w:widowControl w:val="0"/>
        <w:numPr>
          <w:ilvl w:val="0"/>
          <w:numId w:val="104"/>
        </w:numPr>
        <w:tabs>
          <w:tab w:val="left" w:pos="822"/>
        </w:tabs>
        <w:autoSpaceDE w:val="0"/>
        <w:autoSpaceDN w:val="0"/>
        <w:spacing w:before="1"/>
        <w:ind w:left="821" w:right="104"/>
        <w:jc w:val="both"/>
      </w:pPr>
      <w:r>
        <w:t>Proceso ordinario contencioso, en el cual se solicita que Cable Visión reintegre el cobro de multas, ejecución de garantía de cumplimiento e intereses. Cable Visión se opuso al importe de la demanda. Se está a la espera de la sentencia que dictará el Tribunal Contencioso Administrativo. Con base en el criterio de sus asesores legales, el importe provisionado para este caso al 31 de diciembre de 2022 es de ¢121 (¢130 en el 2021).</w:t>
      </w:r>
    </w:p>
    <w:p w14:paraId="26519167" w14:textId="77777777" w:rsidR="00CC74F4" w:rsidRDefault="00CC74F4" w:rsidP="00CC74F4">
      <w:pPr>
        <w:pStyle w:val="Textoindependiente"/>
        <w:spacing w:before="10"/>
        <w:rPr>
          <w:sz w:val="21"/>
        </w:rPr>
      </w:pPr>
    </w:p>
    <w:p w14:paraId="2243E9D2" w14:textId="77777777" w:rsidR="00CC74F4" w:rsidRDefault="00CC74F4" w:rsidP="00CC74F4">
      <w:pPr>
        <w:pStyle w:val="Prrafodelista"/>
        <w:widowControl w:val="0"/>
        <w:numPr>
          <w:ilvl w:val="0"/>
          <w:numId w:val="104"/>
        </w:numPr>
        <w:tabs>
          <w:tab w:val="left" w:pos="822"/>
        </w:tabs>
        <w:autoSpaceDE w:val="0"/>
        <w:autoSpaceDN w:val="0"/>
        <w:spacing w:before="1"/>
        <w:ind w:left="821" w:right="104"/>
        <w:jc w:val="both"/>
      </w:pPr>
      <w:r>
        <w:t>Proceso</w:t>
      </w:r>
      <w:r>
        <w:rPr>
          <w:spacing w:val="-11"/>
        </w:rPr>
        <w:t xml:space="preserve"> </w:t>
      </w:r>
      <w:r>
        <w:t>de</w:t>
      </w:r>
      <w:r>
        <w:rPr>
          <w:spacing w:val="-13"/>
        </w:rPr>
        <w:t xml:space="preserve"> </w:t>
      </w:r>
      <w:r>
        <w:t>demanda</w:t>
      </w:r>
      <w:r>
        <w:rPr>
          <w:spacing w:val="-13"/>
        </w:rPr>
        <w:t xml:space="preserve"> </w:t>
      </w:r>
      <w:r>
        <w:t>laboral</w:t>
      </w:r>
      <w:r>
        <w:rPr>
          <w:spacing w:val="-12"/>
        </w:rPr>
        <w:t xml:space="preserve"> </w:t>
      </w:r>
      <w:r>
        <w:t>profesionales,</w:t>
      </w:r>
      <w:r>
        <w:rPr>
          <w:spacing w:val="-11"/>
        </w:rPr>
        <w:t xml:space="preserve"> </w:t>
      </w:r>
      <w:r>
        <w:t>expediente</w:t>
      </w:r>
      <w:r>
        <w:rPr>
          <w:spacing w:val="-10"/>
        </w:rPr>
        <w:t xml:space="preserve"> </w:t>
      </w:r>
      <w:r>
        <w:t>11-00219-1178-LA-6,</w:t>
      </w:r>
      <w:r>
        <w:rPr>
          <w:spacing w:val="-12"/>
        </w:rPr>
        <w:t xml:space="preserve"> </w:t>
      </w:r>
      <w:r>
        <w:t>mediante</w:t>
      </w:r>
      <w:r>
        <w:rPr>
          <w:spacing w:val="-13"/>
        </w:rPr>
        <w:t xml:space="preserve"> </w:t>
      </w:r>
      <w:r>
        <w:t>el</w:t>
      </w:r>
      <w:r>
        <w:rPr>
          <w:spacing w:val="-13"/>
        </w:rPr>
        <w:t xml:space="preserve"> </w:t>
      </w:r>
      <w:r>
        <w:t>cual pretende que la subsidiaria Compañía Nacional de Fuerza y Luz reconozca el pago de las revaloraciones generales de salario decretadas por la Dirección General de Servicio Civil a partir de 1 de enero de 2008 y que no han sido cubiertas por la subsidiaria.</w:t>
      </w:r>
    </w:p>
    <w:p w14:paraId="226DE91E" w14:textId="77777777" w:rsidR="00CC74F4" w:rsidRDefault="00CC74F4" w:rsidP="00CC74F4">
      <w:pPr>
        <w:pStyle w:val="Textoindependiente"/>
        <w:spacing w:before="11"/>
        <w:rPr>
          <w:sz w:val="21"/>
        </w:rPr>
      </w:pPr>
    </w:p>
    <w:p w14:paraId="6D94F6D7" w14:textId="77777777" w:rsidR="00CC74F4" w:rsidRPr="00D45D17" w:rsidRDefault="00CC74F4" w:rsidP="00CC74F4">
      <w:pPr>
        <w:pStyle w:val="Textoindependiente"/>
        <w:ind w:left="807" w:right="105" w:hanging="706"/>
        <w:rPr>
          <w:rFonts w:ascii="Times New Roman" w:hAnsi="Times New Roman" w:cs="Times New Roman"/>
        </w:rPr>
      </w:pPr>
      <w:r w:rsidRPr="00D45D17">
        <w:rPr>
          <w:rFonts w:ascii="Times New Roman" w:hAnsi="Times New Roman" w:cs="Times New Roman"/>
        </w:rPr>
        <w:t>Al</w:t>
      </w:r>
      <w:r w:rsidRPr="00D45D17">
        <w:rPr>
          <w:rFonts w:ascii="Times New Roman" w:hAnsi="Times New Roman" w:cs="Times New Roman"/>
          <w:spacing w:val="-6"/>
        </w:rPr>
        <w:t xml:space="preserve"> </w:t>
      </w:r>
      <w:r w:rsidRPr="00D45D17">
        <w:rPr>
          <w:rFonts w:ascii="Times New Roman" w:hAnsi="Times New Roman" w:cs="Times New Roman"/>
        </w:rPr>
        <w:t>30</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noviembre</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2022,</w:t>
      </w:r>
      <w:r w:rsidRPr="00D45D17">
        <w:rPr>
          <w:rFonts w:ascii="Times New Roman" w:hAnsi="Times New Roman" w:cs="Times New Roman"/>
          <w:spacing w:val="-7"/>
        </w:rPr>
        <w:t xml:space="preserve"> </w:t>
      </w:r>
      <w:r w:rsidRPr="00D45D17">
        <w:rPr>
          <w:rFonts w:ascii="Times New Roman" w:hAnsi="Times New Roman" w:cs="Times New Roman"/>
        </w:rPr>
        <w:t>mediante</w:t>
      </w:r>
      <w:r w:rsidRPr="00D45D17">
        <w:rPr>
          <w:rFonts w:ascii="Times New Roman" w:hAnsi="Times New Roman" w:cs="Times New Roman"/>
          <w:spacing w:val="-7"/>
        </w:rPr>
        <w:t xml:space="preserve"> </w:t>
      </w:r>
      <w:r w:rsidRPr="00D45D17">
        <w:rPr>
          <w:rFonts w:ascii="Times New Roman" w:hAnsi="Times New Roman" w:cs="Times New Roman"/>
        </w:rPr>
        <w:t>voto</w:t>
      </w:r>
      <w:r w:rsidRPr="00D45D17">
        <w:rPr>
          <w:rFonts w:ascii="Times New Roman" w:hAnsi="Times New Roman" w:cs="Times New Roman"/>
          <w:spacing w:val="-7"/>
        </w:rPr>
        <w:t xml:space="preserve"> </w:t>
      </w:r>
      <w:r w:rsidRPr="00D45D17">
        <w:rPr>
          <w:rFonts w:ascii="Times New Roman" w:hAnsi="Times New Roman" w:cs="Times New Roman"/>
        </w:rPr>
        <w:t>2022-3225</w:t>
      </w:r>
      <w:r w:rsidRPr="00D45D17">
        <w:rPr>
          <w:rFonts w:ascii="Times New Roman" w:hAnsi="Times New Roman" w:cs="Times New Roman"/>
          <w:spacing w:val="-7"/>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Sala</w:t>
      </w:r>
      <w:r w:rsidRPr="00D45D17">
        <w:rPr>
          <w:rFonts w:ascii="Times New Roman" w:hAnsi="Times New Roman" w:cs="Times New Roman"/>
          <w:spacing w:val="-7"/>
        </w:rPr>
        <w:t xml:space="preserve"> </w:t>
      </w:r>
      <w:r w:rsidRPr="00D45D17">
        <w:rPr>
          <w:rFonts w:ascii="Times New Roman" w:hAnsi="Times New Roman" w:cs="Times New Roman"/>
        </w:rPr>
        <w:t>Segunda</w:t>
      </w:r>
      <w:r w:rsidRPr="00D45D17">
        <w:rPr>
          <w:rFonts w:ascii="Times New Roman" w:hAnsi="Times New Roman" w:cs="Times New Roman"/>
          <w:spacing w:val="-7"/>
        </w:rPr>
        <w:t xml:space="preserve"> </w:t>
      </w:r>
      <w:r w:rsidRPr="00D45D17">
        <w:rPr>
          <w:rFonts w:ascii="Times New Roman" w:hAnsi="Times New Roman" w:cs="Times New Roman"/>
        </w:rPr>
        <w:t>revocó</w:t>
      </w:r>
      <w:r w:rsidRPr="00D45D17">
        <w:rPr>
          <w:rFonts w:ascii="Times New Roman" w:hAnsi="Times New Roman" w:cs="Times New Roman"/>
          <w:spacing w:val="-7"/>
        </w:rPr>
        <w:t xml:space="preserve"> </w:t>
      </w:r>
      <w:r w:rsidRPr="00D45D17">
        <w:rPr>
          <w:rFonts w:ascii="Times New Roman" w:hAnsi="Times New Roman" w:cs="Times New Roman"/>
        </w:rPr>
        <w:t>la</w:t>
      </w:r>
      <w:r w:rsidRPr="00D45D17">
        <w:rPr>
          <w:rFonts w:ascii="Times New Roman" w:hAnsi="Times New Roman" w:cs="Times New Roman"/>
          <w:spacing w:val="-9"/>
        </w:rPr>
        <w:t xml:space="preserve"> </w:t>
      </w:r>
      <w:r w:rsidRPr="00D45D17">
        <w:rPr>
          <w:rFonts w:ascii="Times New Roman" w:hAnsi="Times New Roman" w:cs="Times New Roman"/>
        </w:rPr>
        <w:t>sentencia</w:t>
      </w:r>
      <w:r w:rsidRPr="00D45D17">
        <w:rPr>
          <w:rFonts w:ascii="Times New Roman" w:hAnsi="Times New Roman" w:cs="Times New Roman"/>
          <w:spacing w:val="-7"/>
        </w:rPr>
        <w:t xml:space="preserve"> </w:t>
      </w:r>
      <w:r w:rsidRPr="00D45D17">
        <w:rPr>
          <w:rFonts w:ascii="Times New Roman" w:hAnsi="Times New Roman" w:cs="Times New Roman"/>
        </w:rPr>
        <w:t>recurrida, acogió la demanda y ordena pagar las revaloraciones generales de salario decretadas por la Dirección General del Servicio Civil a partir del primero de enero de dos mil ocho que no hubieran sido cubiertas por la subsidiaria Compañía Nacional de Fuerza y Luz, así como el reconocimiento</w:t>
      </w:r>
      <w:r w:rsidRPr="00D45D17">
        <w:rPr>
          <w:rFonts w:ascii="Times New Roman" w:hAnsi="Times New Roman" w:cs="Times New Roman"/>
          <w:spacing w:val="-5"/>
        </w:rPr>
        <w:t xml:space="preserve"> </w:t>
      </w:r>
      <w:r w:rsidRPr="00D45D17">
        <w:rPr>
          <w:rFonts w:ascii="Times New Roman" w:hAnsi="Times New Roman" w:cs="Times New Roman"/>
        </w:rPr>
        <w:t>retroactivo</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las</w:t>
      </w:r>
      <w:r w:rsidRPr="00D45D17">
        <w:rPr>
          <w:rFonts w:ascii="Times New Roman" w:hAnsi="Times New Roman" w:cs="Times New Roman"/>
          <w:spacing w:val="-4"/>
        </w:rPr>
        <w:t xml:space="preserve"> </w:t>
      </w:r>
      <w:r w:rsidRPr="00D45D17">
        <w:rPr>
          <w:rFonts w:ascii="Times New Roman" w:hAnsi="Times New Roman" w:cs="Times New Roman"/>
        </w:rPr>
        <w:t>diferencias</w:t>
      </w:r>
      <w:r w:rsidRPr="00D45D17">
        <w:rPr>
          <w:rFonts w:ascii="Times New Roman" w:hAnsi="Times New Roman" w:cs="Times New Roman"/>
          <w:spacing w:val="-4"/>
        </w:rPr>
        <w:t xml:space="preserve"> </w:t>
      </w:r>
      <w:r w:rsidRPr="00D45D17">
        <w:rPr>
          <w:rFonts w:ascii="Times New Roman" w:hAnsi="Times New Roman" w:cs="Times New Roman"/>
        </w:rPr>
        <w:t>salariales</w:t>
      </w:r>
      <w:r w:rsidRPr="00D45D17">
        <w:rPr>
          <w:rFonts w:ascii="Times New Roman" w:hAnsi="Times New Roman" w:cs="Times New Roman"/>
          <w:spacing w:val="-6"/>
        </w:rPr>
        <w:t xml:space="preserve"> </w:t>
      </w:r>
      <w:r w:rsidRPr="00D45D17">
        <w:rPr>
          <w:rFonts w:ascii="Times New Roman" w:hAnsi="Times New Roman" w:cs="Times New Roman"/>
        </w:rPr>
        <w:t>generadas</w:t>
      </w:r>
      <w:r w:rsidRPr="00D45D17">
        <w:rPr>
          <w:rFonts w:ascii="Times New Roman" w:hAnsi="Times New Roman" w:cs="Times New Roman"/>
          <w:spacing w:val="-4"/>
        </w:rPr>
        <w:t xml:space="preserve"> </w:t>
      </w:r>
      <w:r w:rsidRPr="00D45D17">
        <w:rPr>
          <w:rFonts w:ascii="Times New Roman" w:hAnsi="Times New Roman" w:cs="Times New Roman"/>
        </w:rPr>
        <w:t>en</w:t>
      </w:r>
      <w:r w:rsidRPr="00D45D17">
        <w:rPr>
          <w:rFonts w:ascii="Times New Roman" w:hAnsi="Times New Roman" w:cs="Times New Roman"/>
          <w:spacing w:val="-7"/>
        </w:rPr>
        <w:t xml:space="preserve"> </w:t>
      </w:r>
      <w:r w:rsidRPr="00D45D17">
        <w:rPr>
          <w:rFonts w:ascii="Times New Roman" w:hAnsi="Times New Roman" w:cs="Times New Roman"/>
        </w:rPr>
        <w:t>razón</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cada</w:t>
      </w:r>
      <w:r w:rsidRPr="00D45D17">
        <w:rPr>
          <w:rFonts w:ascii="Times New Roman" w:hAnsi="Times New Roman" w:cs="Times New Roman"/>
          <w:spacing w:val="-7"/>
        </w:rPr>
        <w:t xml:space="preserve"> </w:t>
      </w:r>
      <w:r w:rsidRPr="00D45D17">
        <w:rPr>
          <w:rFonts w:ascii="Times New Roman" w:hAnsi="Times New Roman" w:cs="Times New Roman"/>
        </w:rPr>
        <w:t>uno</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los decretos de salarios mencionados, entre el primero de enero de dos mil ocho y primero de enero de dos mil diez, hasta la fecha actual, conforme entró a regir cada uno de ellos. El importe provisionado para este caso al 31 de diciembre de 2022 es de ¢11.479.</w:t>
      </w:r>
    </w:p>
    <w:p w14:paraId="06CE993C" w14:textId="77777777" w:rsidR="00CC74F4" w:rsidRPr="00D45D17" w:rsidRDefault="00CC74F4" w:rsidP="00CC74F4">
      <w:pPr>
        <w:pStyle w:val="Textoindependiente"/>
        <w:spacing w:before="1"/>
        <w:rPr>
          <w:rFonts w:ascii="Times New Roman" w:hAnsi="Times New Roman" w:cs="Times New Roman"/>
        </w:rPr>
      </w:pPr>
    </w:p>
    <w:p w14:paraId="3ED9417A" w14:textId="77777777" w:rsidR="00CC74F4" w:rsidRPr="00D45D17" w:rsidRDefault="00CC74F4" w:rsidP="00CC74F4">
      <w:pPr>
        <w:pStyle w:val="Textoindependiente"/>
        <w:ind w:left="807" w:right="106" w:hanging="706"/>
        <w:rPr>
          <w:rFonts w:ascii="Times New Roman" w:hAnsi="Times New Roman" w:cs="Times New Roman"/>
        </w:rPr>
      </w:pPr>
      <w:r w:rsidRPr="00D45D17">
        <w:rPr>
          <w:rFonts w:ascii="Times New Roman" w:hAnsi="Times New Roman" w:cs="Times New Roman"/>
        </w:rPr>
        <w:t>Los</w:t>
      </w:r>
      <w:r w:rsidRPr="00D45D17">
        <w:rPr>
          <w:rFonts w:ascii="Times New Roman" w:hAnsi="Times New Roman" w:cs="Times New Roman"/>
          <w:spacing w:val="-7"/>
        </w:rPr>
        <w:t xml:space="preserve"> </w:t>
      </w:r>
      <w:r w:rsidRPr="00D45D17">
        <w:rPr>
          <w:rFonts w:ascii="Times New Roman" w:hAnsi="Times New Roman" w:cs="Times New Roman"/>
        </w:rPr>
        <w:t>principales</w:t>
      </w:r>
      <w:r w:rsidRPr="00D45D17">
        <w:rPr>
          <w:rFonts w:ascii="Times New Roman" w:hAnsi="Times New Roman" w:cs="Times New Roman"/>
          <w:spacing w:val="-6"/>
        </w:rPr>
        <w:t xml:space="preserve"> </w:t>
      </w:r>
      <w:r w:rsidRPr="00D45D17">
        <w:rPr>
          <w:rFonts w:ascii="Times New Roman" w:hAnsi="Times New Roman" w:cs="Times New Roman"/>
        </w:rPr>
        <w:t>procesos</w:t>
      </w:r>
      <w:r w:rsidRPr="00D45D17">
        <w:rPr>
          <w:rFonts w:ascii="Times New Roman" w:hAnsi="Times New Roman" w:cs="Times New Roman"/>
          <w:spacing w:val="-6"/>
        </w:rPr>
        <w:t xml:space="preserve"> </w:t>
      </w:r>
      <w:r w:rsidRPr="00D45D17">
        <w:rPr>
          <w:rFonts w:ascii="Times New Roman" w:hAnsi="Times New Roman" w:cs="Times New Roman"/>
        </w:rPr>
        <w:t>sobre</w:t>
      </w:r>
      <w:r w:rsidRPr="00D45D17">
        <w:rPr>
          <w:rFonts w:ascii="Times New Roman" w:hAnsi="Times New Roman" w:cs="Times New Roman"/>
          <w:spacing w:val="-7"/>
        </w:rPr>
        <w:t xml:space="preserve"> </w:t>
      </w:r>
      <w:r w:rsidRPr="00D45D17">
        <w:rPr>
          <w:rFonts w:ascii="Times New Roman" w:hAnsi="Times New Roman" w:cs="Times New Roman"/>
        </w:rPr>
        <w:t>los</w:t>
      </w:r>
      <w:r w:rsidRPr="00D45D17">
        <w:rPr>
          <w:rFonts w:ascii="Times New Roman" w:hAnsi="Times New Roman" w:cs="Times New Roman"/>
          <w:spacing w:val="-6"/>
        </w:rPr>
        <w:t xml:space="preserve"> </w:t>
      </w:r>
      <w:r w:rsidRPr="00D45D17">
        <w:rPr>
          <w:rFonts w:ascii="Times New Roman" w:hAnsi="Times New Roman" w:cs="Times New Roman"/>
        </w:rPr>
        <w:t>cuales</w:t>
      </w:r>
      <w:r w:rsidRPr="00D45D17">
        <w:rPr>
          <w:rFonts w:ascii="Times New Roman" w:hAnsi="Times New Roman" w:cs="Times New Roman"/>
          <w:spacing w:val="-6"/>
        </w:rPr>
        <w:t xml:space="preserve"> </w:t>
      </w:r>
      <w:r w:rsidRPr="00D45D17">
        <w:rPr>
          <w:rFonts w:ascii="Times New Roman" w:hAnsi="Times New Roman" w:cs="Times New Roman"/>
        </w:rPr>
        <w:t>se</w:t>
      </w:r>
      <w:r w:rsidRPr="00D45D17">
        <w:rPr>
          <w:rFonts w:ascii="Times New Roman" w:hAnsi="Times New Roman" w:cs="Times New Roman"/>
          <w:spacing w:val="-6"/>
        </w:rPr>
        <w:t xml:space="preserve"> </w:t>
      </w:r>
      <w:r w:rsidRPr="00D45D17">
        <w:rPr>
          <w:rFonts w:ascii="Times New Roman" w:hAnsi="Times New Roman" w:cs="Times New Roman"/>
        </w:rPr>
        <w:t>ha</w:t>
      </w:r>
      <w:r w:rsidRPr="00D45D17">
        <w:rPr>
          <w:rFonts w:ascii="Times New Roman" w:hAnsi="Times New Roman" w:cs="Times New Roman"/>
          <w:spacing w:val="-7"/>
        </w:rPr>
        <w:t xml:space="preserve"> </w:t>
      </w:r>
      <w:r w:rsidRPr="00D45D17">
        <w:rPr>
          <w:rFonts w:ascii="Times New Roman" w:hAnsi="Times New Roman" w:cs="Times New Roman"/>
        </w:rPr>
        <w:t>efectuado</w:t>
      </w:r>
      <w:r w:rsidRPr="00D45D17">
        <w:rPr>
          <w:rFonts w:ascii="Times New Roman" w:hAnsi="Times New Roman" w:cs="Times New Roman"/>
          <w:spacing w:val="-7"/>
        </w:rPr>
        <w:t xml:space="preserve"> </w:t>
      </w:r>
      <w:r w:rsidRPr="00D45D17">
        <w:rPr>
          <w:rFonts w:ascii="Times New Roman" w:hAnsi="Times New Roman" w:cs="Times New Roman"/>
        </w:rPr>
        <w:t>una</w:t>
      </w:r>
      <w:r w:rsidRPr="00D45D17">
        <w:rPr>
          <w:rFonts w:ascii="Times New Roman" w:hAnsi="Times New Roman" w:cs="Times New Roman"/>
          <w:spacing w:val="-7"/>
        </w:rPr>
        <w:t xml:space="preserve"> </w:t>
      </w:r>
      <w:r w:rsidRPr="00D45D17">
        <w:rPr>
          <w:rFonts w:ascii="Times New Roman" w:hAnsi="Times New Roman" w:cs="Times New Roman"/>
        </w:rPr>
        <w:t>estimación</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cuantía</w:t>
      </w:r>
      <w:r w:rsidRPr="00D45D17">
        <w:rPr>
          <w:rFonts w:ascii="Times New Roman" w:hAnsi="Times New Roman" w:cs="Times New Roman"/>
          <w:spacing w:val="-7"/>
        </w:rPr>
        <w:t xml:space="preserve"> </w:t>
      </w:r>
      <w:r w:rsidRPr="00D45D17">
        <w:rPr>
          <w:rFonts w:ascii="Times New Roman" w:hAnsi="Times New Roman" w:cs="Times New Roman"/>
        </w:rPr>
        <w:t>y</w:t>
      </w:r>
      <w:r w:rsidRPr="00D45D17">
        <w:rPr>
          <w:rFonts w:ascii="Times New Roman" w:hAnsi="Times New Roman" w:cs="Times New Roman"/>
          <w:spacing w:val="-7"/>
        </w:rPr>
        <w:t xml:space="preserve"> </w:t>
      </w:r>
      <w:r w:rsidRPr="00D45D17">
        <w:rPr>
          <w:rFonts w:ascii="Times New Roman" w:hAnsi="Times New Roman" w:cs="Times New Roman"/>
        </w:rPr>
        <w:t>que,</w:t>
      </w:r>
      <w:r w:rsidRPr="00D45D17">
        <w:rPr>
          <w:rFonts w:ascii="Times New Roman" w:hAnsi="Times New Roman" w:cs="Times New Roman"/>
          <w:spacing w:val="-7"/>
        </w:rPr>
        <w:t xml:space="preserve"> </w:t>
      </w:r>
      <w:r w:rsidRPr="00D45D17">
        <w:rPr>
          <w:rFonts w:ascii="Times New Roman" w:hAnsi="Times New Roman" w:cs="Times New Roman"/>
        </w:rPr>
        <w:t>con</w:t>
      </w:r>
      <w:r w:rsidRPr="00D45D17">
        <w:rPr>
          <w:rFonts w:ascii="Times New Roman" w:hAnsi="Times New Roman" w:cs="Times New Roman"/>
          <w:spacing w:val="-7"/>
        </w:rPr>
        <w:t xml:space="preserve"> </w:t>
      </w:r>
      <w:r w:rsidRPr="00D45D17">
        <w:rPr>
          <w:rFonts w:ascii="Times New Roman" w:hAnsi="Times New Roman" w:cs="Times New Roman"/>
        </w:rPr>
        <w:t>base en el criterio legal de sus asesores, la Administración no ha reconocido provisión alguna en los estados financieros consolidados, se detallan a continuación:</w:t>
      </w:r>
    </w:p>
    <w:p w14:paraId="51EDEED5" w14:textId="77777777" w:rsidR="00CC74F4" w:rsidRDefault="00CC74F4" w:rsidP="00CC74F4">
      <w:pPr>
        <w:pStyle w:val="Prrafodelista"/>
        <w:widowControl w:val="0"/>
        <w:numPr>
          <w:ilvl w:val="0"/>
          <w:numId w:val="103"/>
        </w:numPr>
        <w:tabs>
          <w:tab w:val="left" w:pos="808"/>
        </w:tabs>
        <w:autoSpaceDE w:val="0"/>
        <w:autoSpaceDN w:val="0"/>
        <w:ind w:right="105"/>
        <w:jc w:val="both"/>
      </w:pPr>
      <w:r>
        <w:t>El</w:t>
      </w:r>
      <w:r>
        <w:rPr>
          <w:spacing w:val="-14"/>
        </w:rPr>
        <w:t xml:space="preserve"> </w:t>
      </w:r>
      <w:r>
        <w:t>Grupo</w:t>
      </w:r>
      <w:r>
        <w:rPr>
          <w:spacing w:val="-14"/>
        </w:rPr>
        <w:t xml:space="preserve"> </w:t>
      </w:r>
      <w:r>
        <w:t>ICE</w:t>
      </w:r>
      <w:r>
        <w:rPr>
          <w:spacing w:val="-14"/>
        </w:rPr>
        <w:t xml:space="preserve"> </w:t>
      </w:r>
      <w:r>
        <w:t>enfrenta</w:t>
      </w:r>
      <w:r>
        <w:rPr>
          <w:spacing w:val="-13"/>
        </w:rPr>
        <w:t xml:space="preserve"> </w:t>
      </w:r>
      <w:r>
        <w:t>otro</w:t>
      </w:r>
      <w:r>
        <w:rPr>
          <w:spacing w:val="-14"/>
        </w:rPr>
        <w:t xml:space="preserve"> </w:t>
      </w:r>
      <w:r>
        <w:t>proceso</w:t>
      </w:r>
      <w:r>
        <w:rPr>
          <w:spacing w:val="-14"/>
        </w:rPr>
        <w:t xml:space="preserve"> </w:t>
      </w:r>
      <w:r>
        <w:t>sobre</w:t>
      </w:r>
      <w:r>
        <w:rPr>
          <w:spacing w:val="-13"/>
        </w:rPr>
        <w:t xml:space="preserve"> </w:t>
      </w:r>
      <w:r>
        <w:t>el</w:t>
      </w:r>
      <w:r>
        <w:rPr>
          <w:spacing w:val="-13"/>
        </w:rPr>
        <w:t xml:space="preserve"> </w:t>
      </w:r>
      <w:r>
        <w:t>cual</w:t>
      </w:r>
      <w:r>
        <w:rPr>
          <w:spacing w:val="-14"/>
        </w:rPr>
        <w:t xml:space="preserve"> </w:t>
      </w:r>
      <w:r>
        <w:t>los</w:t>
      </w:r>
      <w:r>
        <w:rPr>
          <w:spacing w:val="-13"/>
        </w:rPr>
        <w:t xml:space="preserve"> </w:t>
      </w:r>
      <w:r>
        <w:t>asesores</w:t>
      </w:r>
      <w:r>
        <w:rPr>
          <w:spacing w:val="-13"/>
        </w:rPr>
        <w:t xml:space="preserve"> </w:t>
      </w:r>
      <w:r>
        <w:t>legales</w:t>
      </w:r>
      <w:r>
        <w:rPr>
          <w:spacing w:val="-14"/>
        </w:rPr>
        <w:t xml:space="preserve"> </w:t>
      </w:r>
      <w:r>
        <w:t>consideran</w:t>
      </w:r>
      <w:r>
        <w:rPr>
          <w:spacing w:val="-13"/>
        </w:rPr>
        <w:t xml:space="preserve"> </w:t>
      </w:r>
      <w:r>
        <w:t>que</w:t>
      </w:r>
      <w:r>
        <w:rPr>
          <w:spacing w:val="-14"/>
        </w:rPr>
        <w:t xml:space="preserve"> </w:t>
      </w:r>
      <w:r>
        <w:t>es</w:t>
      </w:r>
      <w:r>
        <w:rPr>
          <w:spacing w:val="-13"/>
        </w:rPr>
        <w:t xml:space="preserve"> </w:t>
      </w:r>
      <w:r>
        <w:t>posible que el caso</w:t>
      </w:r>
      <w:r>
        <w:rPr>
          <w:spacing w:val="-1"/>
        </w:rPr>
        <w:t xml:space="preserve"> </w:t>
      </w:r>
      <w:r>
        <w:t>se resuelva</w:t>
      </w:r>
      <w:r>
        <w:rPr>
          <w:spacing w:val="-1"/>
        </w:rPr>
        <w:t xml:space="preserve"> </w:t>
      </w:r>
      <w:r>
        <w:t>a favor de</w:t>
      </w:r>
      <w:r>
        <w:rPr>
          <w:spacing w:val="-1"/>
        </w:rPr>
        <w:t xml:space="preserve"> </w:t>
      </w:r>
      <w:r>
        <w:t>la entidad y se refiere a la</w:t>
      </w:r>
      <w:r>
        <w:rPr>
          <w:spacing w:val="-1"/>
        </w:rPr>
        <w:t xml:space="preserve"> </w:t>
      </w:r>
      <w:r>
        <w:t>reclamación presentada por P.H. Chucás,</w:t>
      </w:r>
      <w:r>
        <w:rPr>
          <w:spacing w:val="-2"/>
        </w:rPr>
        <w:t xml:space="preserve"> </w:t>
      </w:r>
      <w:r>
        <w:t>S.A.,</w:t>
      </w:r>
      <w:r>
        <w:rPr>
          <w:spacing w:val="-2"/>
        </w:rPr>
        <w:t xml:space="preserve"> </w:t>
      </w:r>
      <w:r>
        <w:t>por</w:t>
      </w:r>
      <w:r>
        <w:rPr>
          <w:spacing w:val="-2"/>
        </w:rPr>
        <w:t xml:space="preserve"> </w:t>
      </w:r>
      <w:r>
        <w:t>lo que</w:t>
      </w:r>
      <w:r>
        <w:rPr>
          <w:spacing w:val="-2"/>
        </w:rPr>
        <w:t xml:space="preserve"> </w:t>
      </w:r>
      <w:r>
        <w:t>se</w:t>
      </w:r>
      <w:r>
        <w:rPr>
          <w:spacing w:val="-4"/>
        </w:rPr>
        <w:t xml:space="preserve"> </w:t>
      </w:r>
      <w:r>
        <w:t>realizó una</w:t>
      </w:r>
      <w:r>
        <w:rPr>
          <w:spacing w:val="-2"/>
        </w:rPr>
        <w:t xml:space="preserve"> </w:t>
      </w:r>
      <w:r>
        <w:t>estimación</w:t>
      </w:r>
      <w:r>
        <w:rPr>
          <w:spacing w:val="-3"/>
        </w:rPr>
        <w:t xml:space="preserve"> </w:t>
      </w:r>
      <w:r>
        <w:t>del</w:t>
      </w:r>
      <w:r>
        <w:rPr>
          <w:spacing w:val="-1"/>
        </w:rPr>
        <w:t xml:space="preserve"> </w:t>
      </w:r>
      <w:r>
        <w:t>monto de</w:t>
      </w:r>
      <w:r>
        <w:rPr>
          <w:spacing w:val="-2"/>
        </w:rPr>
        <w:t xml:space="preserve"> </w:t>
      </w:r>
      <w:r>
        <w:t>la</w:t>
      </w:r>
      <w:r>
        <w:rPr>
          <w:spacing w:val="-2"/>
        </w:rPr>
        <w:t xml:space="preserve"> </w:t>
      </w:r>
      <w:r>
        <w:t>demanda.</w:t>
      </w:r>
      <w:r>
        <w:rPr>
          <w:spacing w:val="-2"/>
        </w:rPr>
        <w:t xml:space="preserve"> </w:t>
      </w:r>
      <w:r>
        <w:t>A</w:t>
      </w:r>
      <w:r>
        <w:rPr>
          <w:spacing w:val="-1"/>
        </w:rPr>
        <w:t xml:space="preserve"> </w:t>
      </w:r>
      <w:r>
        <w:t>continuación, se proporciona una descripción del reclamo:</w:t>
      </w:r>
    </w:p>
    <w:p w14:paraId="2FF03DFE" w14:textId="77777777" w:rsidR="00CC74F4" w:rsidRDefault="00CC74F4" w:rsidP="00CC74F4">
      <w:pPr>
        <w:pStyle w:val="Textoindependiente"/>
      </w:pPr>
    </w:p>
    <w:p w14:paraId="2E87003B" w14:textId="77777777" w:rsidR="00CC74F4" w:rsidRPr="00D45D17" w:rsidRDefault="00CC74F4" w:rsidP="00CC74F4">
      <w:pPr>
        <w:pStyle w:val="Textoindependiente"/>
        <w:ind w:left="807" w:right="106" w:hanging="706"/>
        <w:rPr>
          <w:rFonts w:ascii="Times New Roman" w:hAnsi="Times New Roman" w:cs="Times New Roman"/>
        </w:rPr>
      </w:pPr>
      <w:r w:rsidRPr="00D45D17">
        <w:rPr>
          <w:rFonts w:ascii="Times New Roman" w:hAnsi="Times New Roman" w:cs="Times New Roman"/>
        </w:rPr>
        <w:t>La Planta Hidroeléctrica Chucás corresponde a un proyecto hidroeléctrico localizado entre los cantones de Mora y Atenas, provincias de San José y Alajuela, respectivamente. Su construcción se inició en el 2011, por lo que el inicio de operaciones estaba previsto para setiembre de 2014, no obstante, debido a atrasos en su proceso de construcción, la planta hidroeléctrica estuvo lista para iniciar operaciones hasta noviembre de 2016.</w:t>
      </w:r>
      <w:r w:rsidRPr="00D45D17">
        <w:rPr>
          <w:rFonts w:ascii="Times New Roman" w:hAnsi="Times New Roman" w:cs="Times New Roman"/>
          <w:spacing w:val="40"/>
        </w:rPr>
        <w:t xml:space="preserve"> </w:t>
      </w:r>
      <w:r w:rsidRPr="00D45D17">
        <w:rPr>
          <w:rFonts w:ascii="Times New Roman" w:hAnsi="Times New Roman" w:cs="Times New Roman"/>
        </w:rPr>
        <w:t>Debido a ese atraso,</w:t>
      </w:r>
      <w:r w:rsidRPr="00D45D17">
        <w:rPr>
          <w:rFonts w:ascii="Times New Roman" w:hAnsi="Times New Roman" w:cs="Times New Roman"/>
          <w:spacing w:val="-2"/>
        </w:rPr>
        <w:t xml:space="preserve"> </w:t>
      </w:r>
      <w:r w:rsidRPr="00D45D17">
        <w:rPr>
          <w:rFonts w:ascii="Times New Roman" w:hAnsi="Times New Roman" w:cs="Times New Roman"/>
        </w:rPr>
        <w:t>y</w:t>
      </w:r>
      <w:r w:rsidRPr="00D45D17">
        <w:rPr>
          <w:rFonts w:ascii="Times New Roman" w:hAnsi="Times New Roman" w:cs="Times New Roman"/>
          <w:spacing w:val="-5"/>
        </w:rPr>
        <w:t xml:space="preserve"> </w:t>
      </w:r>
      <w:r w:rsidRPr="00D45D17">
        <w:rPr>
          <w:rFonts w:ascii="Times New Roman" w:hAnsi="Times New Roman" w:cs="Times New Roman"/>
        </w:rPr>
        <w:t>como</w:t>
      </w:r>
      <w:r w:rsidRPr="00D45D17">
        <w:rPr>
          <w:rFonts w:ascii="Times New Roman" w:hAnsi="Times New Roman" w:cs="Times New Roman"/>
          <w:spacing w:val="-2"/>
        </w:rPr>
        <w:t xml:space="preserve"> </w:t>
      </w:r>
      <w:r w:rsidRPr="00D45D17">
        <w:rPr>
          <w:rFonts w:ascii="Times New Roman" w:hAnsi="Times New Roman" w:cs="Times New Roman"/>
        </w:rPr>
        <w:t>está</w:t>
      </w:r>
      <w:r w:rsidRPr="00D45D17">
        <w:rPr>
          <w:rFonts w:ascii="Times New Roman" w:hAnsi="Times New Roman" w:cs="Times New Roman"/>
          <w:spacing w:val="-4"/>
        </w:rPr>
        <w:t xml:space="preserve"> </w:t>
      </w:r>
      <w:r w:rsidRPr="00D45D17">
        <w:rPr>
          <w:rFonts w:ascii="Times New Roman" w:hAnsi="Times New Roman" w:cs="Times New Roman"/>
        </w:rPr>
        <w:t>contemplado</w:t>
      </w:r>
      <w:r w:rsidRPr="00D45D17">
        <w:rPr>
          <w:rFonts w:ascii="Times New Roman" w:hAnsi="Times New Roman" w:cs="Times New Roman"/>
          <w:spacing w:val="-4"/>
        </w:rPr>
        <w:t xml:space="preserve"> </w:t>
      </w:r>
      <w:r w:rsidRPr="00D45D17">
        <w:rPr>
          <w:rFonts w:ascii="Times New Roman" w:hAnsi="Times New Roman" w:cs="Times New Roman"/>
        </w:rPr>
        <w:t>en</w:t>
      </w:r>
      <w:r w:rsidRPr="00D45D17">
        <w:rPr>
          <w:rFonts w:ascii="Times New Roman" w:hAnsi="Times New Roman" w:cs="Times New Roman"/>
          <w:spacing w:val="-2"/>
        </w:rPr>
        <w:t xml:space="preserve"> </w:t>
      </w:r>
      <w:r w:rsidRPr="00D45D17">
        <w:rPr>
          <w:rFonts w:ascii="Times New Roman" w:hAnsi="Times New Roman" w:cs="Times New Roman"/>
        </w:rPr>
        <w:t>el</w:t>
      </w:r>
      <w:r w:rsidRPr="00D45D17">
        <w:rPr>
          <w:rFonts w:ascii="Times New Roman" w:hAnsi="Times New Roman" w:cs="Times New Roman"/>
          <w:spacing w:val="-1"/>
        </w:rPr>
        <w:t xml:space="preserve"> </w:t>
      </w:r>
      <w:r w:rsidRPr="00D45D17">
        <w:rPr>
          <w:rFonts w:ascii="Times New Roman" w:hAnsi="Times New Roman" w:cs="Times New Roman"/>
        </w:rPr>
        <w:t>contrato</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compra</w:t>
      </w:r>
      <w:r w:rsidRPr="00D45D17">
        <w:rPr>
          <w:rFonts w:ascii="Times New Roman" w:hAnsi="Times New Roman" w:cs="Times New Roman"/>
          <w:spacing w:val="-2"/>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energía</w:t>
      </w:r>
      <w:r w:rsidRPr="00D45D17">
        <w:rPr>
          <w:rFonts w:ascii="Times New Roman" w:hAnsi="Times New Roman" w:cs="Times New Roman"/>
          <w:spacing w:val="-2"/>
        </w:rPr>
        <w:t xml:space="preserve"> </w:t>
      </w:r>
      <w:r w:rsidRPr="00D45D17">
        <w:rPr>
          <w:rFonts w:ascii="Times New Roman" w:hAnsi="Times New Roman" w:cs="Times New Roman"/>
        </w:rPr>
        <w:t>suscrito</w:t>
      </w:r>
      <w:r w:rsidRPr="00D45D17">
        <w:rPr>
          <w:rFonts w:ascii="Times New Roman" w:hAnsi="Times New Roman" w:cs="Times New Roman"/>
          <w:spacing w:val="-2"/>
        </w:rPr>
        <w:t xml:space="preserve"> </w:t>
      </w:r>
      <w:r w:rsidRPr="00D45D17">
        <w:rPr>
          <w:rFonts w:ascii="Times New Roman" w:hAnsi="Times New Roman" w:cs="Times New Roman"/>
        </w:rPr>
        <w:t>con</w:t>
      </w:r>
      <w:r w:rsidRPr="00D45D17">
        <w:rPr>
          <w:rFonts w:ascii="Times New Roman" w:hAnsi="Times New Roman" w:cs="Times New Roman"/>
          <w:spacing w:val="-4"/>
        </w:rPr>
        <w:t xml:space="preserve"> </w:t>
      </w:r>
      <w:r w:rsidRPr="00D45D17">
        <w:rPr>
          <w:rFonts w:ascii="Times New Roman" w:hAnsi="Times New Roman" w:cs="Times New Roman"/>
        </w:rPr>
        <w:t>esa</w:t>
      </w:r>
      <w:r w:rsidRPr="00D45D17">
        <w:rPr>
          <w:rFonts w:ascii="Times New Roman" w:hAnsi="Times New Roman" w:cs="Times New Roman"/>
          <w:spacing w:val="-2"/>
        </w:rPr>
        <w:t xml:space="preserve"> </w:t>
      </w:r>
      <w:r w:rsidRPr="00D45D17">
        <w:rPr>
          <w:rFonts w:ascii="Times New Roman" w:hAnsi="Times New Roman" w:cs="Times New Roman"/>
        </w:rPr>
        <w:t>entidad el</w:t>
      </w:r>
      <w:r w:rsidRPr="00D45D17">
        <w:rPr>
          <w:rFonts w:ascii="Times New Roman" w:hAnsi="Times New Roman" w:cs="Times New Roman"/>
          <w:spacing w:val="-3"/>
        </w:rPr>
        <w:t xml:space="preserve"> </w:t>
      </w:r>
      <w:r w:rsidRPr="00D45D17">
        <w:rPr>
          <w:rFonts w:ascii="Times New Roman" w:hAnsi="Times New Roman" w:cs="Times New Roman"/>
        </w:rPr>
        <w:t>3</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febrero</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2011</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1"/>
        </w:rPr>
        <w:t xml:space="preserve"> </w:t>
      </w:r>
      <w:r w:rsidRPr="00D45D17">
        <w:rPr>
          <w:rFonts w:ascii="Times New Roman" w:hAnsi="Times New Roman" w:cs="Times New Roman"/>
        </w:rPr>
        <w:t>Grupo</w:t>
      </w:r>
      <w:r w:rsidRPr="00D45D17">
        <w:rPr>
          <w:rFonts w:ascii="Times New Roman" w:hAnsi="Times New Roman" w:cs="Times New Roman"/>
          <w:spacing w:val="-3"/>
        </w:rPr>
        <w:t xml:space="preserve"> </w:t>
      </w:r>
      <w:r w:rsidRPr="00D45D17">
        <w:rPr>
          <w:rFonts w:ascii="Times New Roman" w:hAnsi="Times New Roman" w:cs="Times New Roman"/>
        </w:rPr>
        <w:t>ICE</w:t>
      </w:r>
      <w:r w:rsidRPr="00D45D17">
        <w:rPr>
          <w:rFonts w:ascii="Times New Roman" w:hAnsi="Times New Roman" w:cs="Times New Roman"/>
          <w:spacing w:val="-4"/>
        </w:rPr>
        <w:t xml:space="preserve"> </w:t>
      </w:r>
      <w:r w:rsidRPr="00D45D17">
        <w:rPr>
          <w:rFonts w:ascii="Times New Roman" w:hAnsi="Times New Roman" w:cs="Times New Roman"/>
        </w:rPr>
        <w:t>procedió</w:t>
      </w:r>
      <w:r w:rsidRPr="00D45D17">
        <w:rPr>
          <w:rFonts w:ascii="Times New Roman" w:hAnsi="Times New Roman" w:cs="Times New Roman"/>
          <w:spacing w:val="-4"/>
        </w:rPr>
        <w:t xml:space="preserve"> </w:t>
      </w:r>
      <w:r w:rsidRPr="00D45D17">
        <w:rPr>
          <w:rFonts w:ascii="Times New Roman" w:hAnsi="Times New Roman" w:cs="Times New Roman"/>
        </w:rPr>
        <w:t>al</w:t>
      </w:r>
      <w:r w:rsidRPr="00D45D17">
        <w:rPr>
          <w:rFonts w:ascii="Times New Roman" w:hAnsi="Times New Roman" w:cs="Times New Roman"/>
          <w:spacing w:val="-3"/>
        </w:rPr>
        <w:t xml:space="preserve"> </w:t>
      </w:r>
      <w:r w:rsidRPr="00D45D17">
        <w:rPr>
          <w:rFonts w:ascii="Times New Roman" w:hAnsi="Times New Roman" w:cs="Times New Roman"/>
        </w:rPr>
        <w:t>trámite</w:t>
      </w:r>
      <w:r w:rsidRPr="00D45D17">
        <w:rPr>
          <w:rFonts w:ascii="Times New Roman" w:hAnsi="Times New Roman" w:cs="Times New Roman"/>
          <w:spacing w:val="-3"/>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una</w:t>
      </w:r>
      <w:r w:rsidRPr="00D45D17">
        <w:rPr>
          <w:rFonts w:ascii="Times New Roman" w:hAnsi="Times New Roman" w:cs="Times New Roman"/>
          <w:spacing w:val="-3"/>
        </w:rPr>
        <w:t xml:space="preserve"> </w:t>
      </w:r>
      <w:r w:rsidRPr="00D45D17">
        <w:rPr>
          <w:rFonts w:ascii="Times New Roman" w:hAnsi="Times New Roman" w:cs="Times New Roman"/>
        </w:rPr>
        <w:t>multa</w:t>
      </w:r>
      <w:r w:rsidRPr="00D45D17">
        <w:rPr>
          <w:rFonts w:ascii="Times New Roman" w:hAnsi="Times New Roman" w:cs="Times New Roman"/>
          <w:spacing w:val="-3"/>
        </w:rPr>
        <w:t xml:space="preserve"> </w:t>
      </w:r>
      <w:r w:rsidRPr="00D45D17">
        <w:rPr>
          <w:rFonts w:ascii="Times New Roman" w:hAnsi="Times New Roman" w:cs="Times New Roman"/>
        </w:rPr>
        <w:t>por</w:t>
      </w:r>
      <w:r w:rsidRPr="00D45D17">
        <w:rPr>
          <w:rFonts w:ascii="Times New Roman" w:hAnsi="Times New Roman" w:cs="Times New Roman"/>
          <w:spacing w:val="-3"/>
        </w:rPr>
        <w:t xml:space="preserve"> </w:t>
      </w:r>
      <w:r w:rsidRPr="00D45D17">
        <w:rPr>
          <w:rFonts w:ascii="Times New Roman" w:hAnsi="Times New Roman" w:cs="Times New Roman"/>
        </w:rPr>
        <w:t>la</w:t>
      </w:r>
      <w:r w:rsidRPr="00D45D17">
        <w:rPr>
          <w:rFonts w:ascii="Times New Roman" w:hAnsi="Times New Roman" w:cs="Times New Roman"/>
          <w:spacing w:val="-3"/>
        </w:rPr>
        <w:t xml:space="preserve"> </w:t>
      </w:r>
      <w:r w:rsidRPr="00D45D17">
        <w:rPr>
          <w:rFonts w:ascii="Times New Roman" w:hAnsi="Times New Roman" w:cs="Times New Roman"/>
        </w:rPr>
        <w:t>suma</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US$9,4 (millones de dólares) (equivalentes a ¢5.092).</w:t>
      </w:r>
    </w:p>
    <w:p w14:paraId="5D51BB32" w14:textId="77777777" w:rsidR="00CC74F4" w:rsidRDefault="00CC74F4" w:rsidP="00CC74F4">
      <w:pPr>
        <w:pStyle w:val="Textoindependiente"/>
        <w:spacing w:before="4"/>
        <w:rPr>
          <w:sz w:val="12"/>
        </w:rPr>
      </w:pPr>
    </w:p>
    <w:p w14:paraId="23875012" w14:textId="77777777" w:rsidR="00CC74F4" w:rsidRPr="00D45D17" w:rsidRDefault="00CC74F4" w:rsidP="00CC74F4">
      <w:pPr>
        <w:pStyle w:val="Textoindependiente"/>
        <w:spacing w:before="92"/>
        <w:ind w:left="807" w:right="101" w:hanging="706"/>
        <w:rPr>
          <w:rFonts w:ascii="Times New Roman" w:hAnsi="Times New Roman" w:cs="Times New Roman"/>
        </w:rPr>
      </w:pPr>
      <w:r w:rsidRPr="00D45D17">
        <w:rPr>
          <w:rFonts w:ascii="Times New Roman" w:hAnsi="Times New Roman" w:cs="Times New Roman"/>
        </w:rPr>
        <w:t>Posteriormente,</w:t>
      </w:r>
      <w:r w:rsidRPr="00D45D17">
        <w:rPr>
          <w:rFonts w:ascii="Times New Roman" w:hAnsi="Times New Roman" w:cs="Times New Roman"/>
          <w:spacing w:val="-7"/>
        </w:rPr>
        <w:t xml:space="preserve"> </w:t>
      </w:r>
      <w:r w:rsidRPr="00D45D17">
        <w:rPr>
          <w:rFonts w:ascii="Times New Roman" w:hAnsi="Times New Roman" w:cs="Times New Roman"/>
        </w:rPr>
        <w:t>la</w:t>
      </w:r>
      <w:r w:rsidRPr="00D45D17">
        <w:rPr>
          <w:rFonts w:ascii="Times New Roman" w:hAnsi="Times New Roman" w:cs="Times New Roman"/>
          <w:spacing w:val="-4"/>
        </w:rPr>
        <w:t xml:space="preserve"> </w:t>
      </w:r>
      <w:r w:rsidRPr="00D45D17">
        <w:rPr>
          <w:rFonts w:ascii="Times New Roman" w:hAnsi="Times New Roman" w:cs="Times New Roman"/>
        </w:rPr>
        <w:t>empresa</w:t>
      </w:r>
      <w:r w:rsidRPr="00D45D17">
        <w:rPr>
          <w:rFonts w:ascii="Times New Roman" w:hAnsi="Times New Roman" w:cs="Times New Roman"/>
          <w:spacing w:val="-7"/>
        </w:rPr>
        <w:t xml:space="preserve"> </w:t>
      </w:r>
      <w:r w:rsidRPr="00D45D17">
        <w:rPr>
          <w:rFonts w:ascii="Times New Roman" w:hAnsi="Times New Roman" w:cs="Times New Roman"/>
        </w:rPr>
        <w:t>inició</w:t>
      </w:r>
      <w:r w:rsidRPr="00D45D17">
        <w:rPr>
          <w:rFonts w:ascii="Times New Roman" w:hAnsi="Times New Roman" w:cs="Times New Roman"/>
          <w:spacing w:val="-5"/>
        </w:rPr>
        <w:t xml:space="preserve"> </w:t>
      </w:r>
      <w:r w:rsidRPr="00D45D17">
        <w:rPr>
          <w:rFonts w:ascii="Times New Roman" w:hAnsi="Times New Roman" w:cs="Times New Roman"/>
        </w:rPr>
        <w:t>un</w:t>
      </w:r>
      <w:r w:rsidRPr="00D45D17">
        <w:rPr>
          <w:rFonts w:ascii="Times New Roman" w:hAnsi="Times New Roman" w:cs="Times New Roman"/>
          <w:spacing w:val="-5"/>
        </w:rPr>
        <w:t xml:space="preserve"> </w:t>
      </w:r>
      <w:r w:rsidRPr="00D45D17">
        <w:rPr>
          <w:rFonts w:ascii="Times New Roman" w:hAnsi="Times New Roman" w:cs="Times New Roman"/>
        </w:rPr>
        <w:t>proceso</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arbitraje</w:t>
      </w:r>
      <w:r w:rsidRPr="00D45D17">
        <w:rPr>
          <w:rFonts w:ascii="Times New Roman" w:hAnsi="Times New Roman" w:cs="Times New Roman"/>
          <w:spacing w:val="-4"/>
        </w:rPr>
        <w:t xml:space="preserve"> </w:t>
      </w:r>
      <w:r w:rsidRPr="00D45D17">
        <w:rPr>
          <w:rFonts w:ascii="Times New Roman" w:hAnsi="Times New Roman" w:cs="Times New Roman"/>
        </w:rPr>
        <w:t>ante</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Centro</w:t>
      </w:r>
      <w:r w:rsidRPr="00D45D17">
        <w:rPr>
          <w:rFonts w:ascii="Times New Roman" w:hAnsi="Times New Roman" w:cs="Times New Roman"/>
          <w:spacing w:val="-5"/>
        </w:rPr>
        <w:t xml:space="preserve"> </w:t>
      </w:r>
      <w:r w:rsidRPr="00D45D17">
        <w:rPr>
          <w:rFonts w:ascii="Times New Roman" w:hAnsi="Times New Roman" w:cs="Times New Roman"/>
        </w:rPr>
        <w:t>Internacional</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Conciliación y Arbitraje (CICA), ente afiliado a la Cámara Costarricense Norteamericana de Comercio (AmCham), reclamando el reconocimiento de los costos en exceso incurridos en la construcción de la planta hidroeléctrica mencionada, así como que se declarara que el Grupo ICE no tenía derecho a cobrar la multa, debido a que el atraso se debió a eventos de fuerza mayor.</w:t>
      </w:r>
      <w:r w:rsidRPr="00D45D17">
        <w:rPr>
          <w:rFonts w:ascii="Times New Roman" w:hAnsi="Times New Roman" w:cs="Times New Roman"/>
          <w:spacing w:val="40"/>
        </w:rPr>
        <w:t xml:space="preserve"> </w:t>
      </w:r>
      <w:r w:rsidRPr="00D45D17">
        <w:rPr>
          <w:rFonts w:ascii="Times New Roman" w:hAnsi="Times New Roman" w:cs="Times New Roman"/>
        </w:rPr>
        <w:t>Tal</w:t>
      </w:r>
      <w:r w:rsidRPr="00D45D17">
        <w:rPr>
          <w:rFonts w:ascii="Times New Roman" w:hAnsi="Times New Roman" w:cs="Times New Roman"/>
          <w:spacing w:val="-6"/>
        </w:rPr>
        <w:t xml:space="preserve"> </w:t>
      </w:r>
      <w:r w:rsidRPr="00D45D17">
        <w:rPr>
          <w:rFonts w:ascii="Times New Roman" w:hAnsi="Times New Roman" w:cs="Times New Roman"/>
        </w:rPr>
        <w:t>supuesto</w:t>
      </w:r>
      <w:r w:rsidRPr="00D45D17">
        <w:rPr>
          <w:rFonts w:ascii="Times New Roman" w:hAnsi="Times New Roman" w:cs="Times New Roman"/>
          <w:spacing w:val="-10"/>
        </w:rPr>
        <w:t xml:space="preserve"> </w:t>
      </w:r>
      <w:r w:rsidRPr="00D45D17">
        <w:rPr>
          <w:rFonts w:ascii="Times New Roman" w:hAnsi="Times New Roman" w:cs="Times New Roman"/>
        </w:rPr>
        <w:t>exceso</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9"/>
        </w:rPr>
        <w:t xml:space="preserve"> </w:t>
      </w:r>
      <w:r w:rsidRPr="00D45D17">
        <w:rPr>
          <w:rFonts w:ascii="Times New Roman" w:hAnsi="Times New Roman" w:cs="Times New Roman"/>
        </w:rPr>
        <w:t>costos</w:t>
      </w:r>
      <w:r w:rsidRPr="00D45D17">
        <w:rPr>
          <w:rFonts w:ascii="Times New Roman" w:hAnsi="Times New Roman" w:cs="Times New Roman"/>
          <w:spacing w:val="-9"/>
        </w:rPr>
        <w:t xml:space="preserve"> </w:t>
      </w:r>
      <w:r w:rsidRPr="00D45D17">
        <w:rPr>
          <w:rFonts w:ascii="Times New Roman" w:hAnsi="Times New Roman" w:cs="Times New Roman"/>
        </w:rPr>
        <w:t>ascendió</w:t>
      </w:r>
      <w:r w:rsidRPr="00D45D17">
        <w:rPr>
          <w:rFonts w:ascii="Times New Roman" w:hAnsi="Times New Roman" w:cs="Times New Roman"/>
          <w:spacing w:val="-10"/>
        </w:rPr>
        <w:t xml:space="preserve"> </w:t>
      </w:r>
      <w:r w:rsidRPr="00D45D17">
        <w:rPr>
          <w:rFonts w:ascii="Times New Roman" w:hAnsi="Times New Roman" w:cs="Times New Roman"/>
        </w:rPr>
        <w:t>a</w:t>
      </w:r>
      <w:r w:rsidRPr="00D45D17">
        <w:rPr>
          <w:rFonts w:ascii="Times New Roman" w:hAnsi="Times New Roman" w:cs="Times New Roman"/>
          <w:spacing w:val="-9"/>
        </w:rPr>
        <w:t xml:space="preserve"> </w:t>
      </w:r>
      <w:r w:rsidRPr="00D45D17">
        <w:rPr>
          <w:rFonts w:ascii="Times New Roman" w:hAnsi="Times New Roman" w:cs="Times New Roman"/>
        </w:rPr>
        <w:t>la</w:t>
      </w:r>
      <w:r w:rsidRPr="00D45D17">
        <w:rPr>
          <w:rFonts w:ascii="Times New Roman" w:hAnsi="Times New Roman" w:cs="Times New Roman"/>
          <w:spacing w:val="-9"/>
        </w:rPr>
        <w:t xml:space="preserve"> </w:t>
      </w:r>
      <w:r w:rsidRPr="00D45D17">
        <w:rPr>
          <w:rFonts w:ascii="Times New Roman" w:hAnsi="Times New Roman" w:cs="Times New Roman"/>
        </w:rPr>
        <w:t>suma</w:t>
      </w:r>
      <w:r w:rsidRPr="00D45D17">
        <w:rPr>
          <w:rFonts w:ascii="Times New Roman" w:hAnsi="Times New Roman" w:cs="Times New Roman"/>
          <w:spacing w:val="-9"/>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US$173</w:t>
      </w:r>
      <w:r w:rsidRPr="00D45D17">
        <w:rPr>
          <w:rFonts w:ascii="Times New Roman" w:hAnsi="Times New Roman" w:cs="Times New Roman"/>
          <w:spacing w:val="-5"/>
        </w:rPr>
        <w:t xml:space="preserve"> </w:t>
      </w:r>
      <w:r w:rsidRPr="00D45D17">
        <w:rPr>
          <w:rFonts w:ascii="Times New Roman" w:hAnsi="Times New Roman" w:cs="Times New Roman"/>
        </w:rPr>
        <w:t>(millones</w:t>
      </w:r>
      <w:r w:rsidRPr="00D45D17">
        <w:rPr>
          <w:rFonts w:ascii="Times New Roman" w:hAnsi="Times New Roman" w:cs="Times New Roman"/>
          <w:spacing w:val="-9"/>
        </w:rPr>
        <w:t xml:space="preserve"> </w:t>
      </w:r>
      <w:r w:rsidRPr="00D45D17">
        <w:rPr>
          <w:rFonts w:ascii="Times New Roman" w:hAnsi="Times New Roman" w:cs="Times New Roman"/>
        </w:rPr>
        <w:t>de</w:t>
      </w:r>
      <w:r w:rsidRPr="00D45D17">
        <w:rPr>
          <w:rFonts w:ascii="Times New Roman" w:hAnsi="Times New Roman" w:cs="Times New Roman"/>
          <w:spacing w:val="-9"/>
        </w:rPr>
        <w:t xml:space="preserve"> </w:t>
      </w:r>
      <w:r w:rsidRPr="00D45D17">
        <w:rPr>
          <w:rFonts w:ascii="Times New Roman" w:hAnsi="Times New Roman" w:cs="Times New Roman"/>
        </w:rPr>
        <w:t>dólares)</w:t>
      </w:r>
      <w:r w:rsidRPr="00D45D17">
        <w:rPr>
          <w:rFonts w:ascii="Times New Roman" w:hAnsi="Times New Roman" w:cs="Times New Roman"/>
          <w:spacing w:val="-8"/>
        </w:rPr>
        <w:t xml:space="preserve"> </w:t>
      </w:r>
      <w:r w:rsidRPr="00D45D17">
        <w:rPr>
          <w:rFonts w:ascii="Times New Roman" w:hAnsi="Times New Roman" w:cs="Times New Roman"/>
        </w:rPr>
        <w:t>(el costo</w:t>
      </w:r>
      <w:r w:rsidRPr="00D45D17">
        <w:rPr>
          <w:rFonts w:ascii="Times New Roman" w:hAnsi="Times New Roman" w:cs="Times New Roman"/>
          <w:spacing w:val="-11"/>
        </w:rPr>
        <w:t xml:space="preserve"> </w:t>
      </w:r>
      <w:r w:rsidRPr="00D45D17">
        <w:rPr>
          <w:rFonts w:ascii="Times New Roman" w:hAnsi="Times New Roman" w:cs="Times New Roman"/>
        </w:rPr>
        <w:t>presupuestado</w:t>
      </w:r>
      <w:r w:rsidRPr="00D45D17">
        <w:rPr>
          <w:rFonts w:ascii="Times New Roman" w:hAnsi="Times New Roman" w:cs="Times New Roman"/>
          <w:spacing w:val="-10"/>
        </w:rPr>
        <w:t xml:space="preserve"> </w:t>
      </w:r>
      <w:r w:rsidRPr="00D45D17">
        <w:rPr>
          <w:rFonts w:ascii="Times New Roman" w:hAnsi="Times New Roman" w:cs="Times New Roman"/>
        </w:rPr>
        <w:t>para</w:t>
      </w:r>
      <w:r w:rsidRPr="00D45D17">
        <w:rPr>
          <w:rFonts w:ascii="Times New Roman" w:hAnsi="Times New Roman" w:cs="Times New Roman"/>
          <w:spacing w:val="-10"/>
        </w:rPr>
        <w:t xml:space="preserve"> </w:t>
      </w:r>
      <w:r w:rsidRPr="00D45D17">
        <w:rPr>
          <w:rFonts w:ascii="Times New Roman" w:hAnsi="Times New Roman" w:cs="Times New Roman"/>
        </w:rPr>
        <w:t>la</w:t>
      </w:r>
      <w:r w:rsidRPr="00D45D17">
        <w:rPr>
          <w:rFonts w:ascii="Times New Roman" w:hAnsi="Times New Roman" w:cs="Times New Roman"/>
          <w:spacing w:val="-10"/>
        </w:rPr>
        <w:t xml:space="preserve"> </w:t>
      </w:r>
      <w:r w:rsidRPr="00D45D17">
        <w:rPr>
          <w:rFonts w:ascii="Times New Roman" w:hAnsi="Times New Roman" w:cs="Times New Roman"/>
        </w:rPr>
        <w:t>construcción</w:t>
      </w:r>
      <w:r w:rsidRPr="00D45D17">
        <w:rPr>
          <w:rFonts w:ascii="Times New Roman" w:hAnsi="Times New Roman" w:cs="Times New Roman"/>
          <w:spacing w:val="-11"/>
        </w:rPr>
        <w:t xml:space="preserve"> </w:t>
      </w:r>
      <w:r w:rsidRPr="00D45D17">
        <w:rPr>
          <w:rFonts w:ascii="Times New Roman" w:hAnsi="Times New Roman" w:cs="Times New Roman"/>
        </w:rPr>
        <w:t>ascendía</w:t>
      </w:r>
      <w:r w:rsidRPr="00D45D17">
        <w:rPr>
          <w:rFonts w:ascii="Times New Roman" w:hAnsi="Times New Roman" w:cs="Times New Roman"/>
          <w:spacing w:val="-10"/>
        </w:rPr>
        <w:t xml:space="preserve"> </w:t>
      </w:r>
      <w:r w:rsidRPr="00D45D17">
        <w:rPr>
          <w:rFonts w:ascii="Times New Roman" w:hAnsi="Times New Roman" w:cs="Times New Roman"/>
        </w:rPr>
        <w:t>a</w:t>
      </w:r>
      <w:r w:rsidRPr="00D45D17">
        <w:rPr>
          <w:rFonts w:ascii="Times New Roman" w:hAnsi="Times New Roman" w:cs="Times New Roman"/>
          <w:spacing w:val="-10"/>
        </w:rPr>
        <w:t xml:space="preserve"> </w:t>
      </w:r>
      <w:r w:rsidRPr="00D45D17">
        <w:rPr>
          <w:rFonts w:ascii="Times New Roman" w:hAnsi="Times New Roman" w:cs="Times New Roman"/>
        </w:rPr>
        <w:t>la</w:t>
      </w:r>
      <w:r w:rsidRPr="00D45D17">
        <w:rPr>
          <w:rFonts w:ascii="Times New Roman" w:hAnsi="Times New Roman" w:cs="Times New Roman"/>
          <w:spacing w:val="-10"/>
        </w:rPr>
        <w:t xml:space="preserve"> </w:t>
      </w:r>
      <w:r w:rsidRPr="00D45D17">
        <w:rPr>
          <w:rFonts w:ascii="Times New Roman" w:hAnsi="Times New Roman" w:cs="Times New Roman"/>
        </w:rPr>
        <w:t>suma</w:t>
      </w:r>
      <w:r w:rsidRPr="00D45D17">
        <w:rPr>
          <w:rFonts w:ascii="Times New Roman" w:hAnsi="Times New Roman" w:cs="Times New Roman"/>
          <w:spacing w:val="-10"/>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US$107</w:t>
      </w:r>
      <w:r w:rsidRPr="00D45D17">
        <w:rPr>
          <w:rFonts w:ascii="Times New Roman" w:hAnsi="Times New Roman" w:cs="Times New Roman"/>
          <w:spacing w:val="-7"/>
        </w:rPr>
        <w:t xml:space="preserve"> </w:t>
      </w:r>
      <w:r w:rsidRPr="00D45D17">
        <w:rPr>
          <w:rFonts w:ascii="Times New Roman" w:hAnsi="Times New Roman" w:cs="Times New Roman"/>
        </w:rPr>
        <w:t>(millones</w:t>
      </w:r>
      <w:r w:rsidRPr="00D45D17">
        <w:rPr>
          <w:rFonts w:ascii="Times New Roman" w:hAnsi="Times New Roman" w:cs="Times New Roman"/>
          <w:spacing w:val="-10"/>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dólares), sin embargo, el costo final reportado ante el Tribunal Arbitral fue por US$280 (millones de dólares), el cual y según criterio de la empresa, obedeció a factores imprevisibles como cambios geológicos, entre otros. En noviembre de 2017, el CICA, dictó el Laudo Arbitral a favor de P.H. Chucás, S.A., determinando que el Grupo ICE debía pagar el monto por supuestos</w:t>
      </w:r>
      <w:r w:rsidRPr="00D45D17">
        <w:rPr>
          <w:rFonts w:ascii="Times New Roman" w:hAnsi="Times New Roman" w:cs="Times New Roman"/>
          <w:spacing w:val="-4"/>
        </w:rPr>
        <w:t xml:space="preserve"> </w:t>
      </w:r>
      <w:r w:rsidRPr="00D45D17">
        <w:rPr>
          <w:rFonts w:ascii="Times New Roman" w:hAnsi="Times New Roman" w:cs="Times New Roman"/>
        </w:rPr>
        <w:t>sobrecostos,</w:t>
      </w:r>
      <w:r w:rsidRPr="00D45D17">
        <w:rPr>
          <w:rFonts w:ascii="Times New Roman" w:hAnsi="Times New Roman" w:cs="Times New Roman"/>
          <w:spacing w:val="-4"/>
        </w:rPr>
        <w:t xml:space="preserve"> </w:t>
      </w:r>
      <w:r w:rsidRPr="00D45D17">
        <w:rPr>
          <w:rFonts w:ascii="Times New Roman" w:hAnsi="Times New Roman" w:cs="Times New Roman"/>
        </w:rPr>
        <w:t>gastos</w:t>
      </w:r>
      <w:r w:rsidRPr="00D45D17">
        <w:rPr>
          <w:rFonts w:ascii="Times New Roman" w:hAnsi="Times New Roman" w:cs="Times New Roman"/>
          <w:spacing w:val="-4"/>
        </w:rPr>
        <w:t xml:space="preserve"> </w:t>
      </w:r>
      <w:r w:rsidRPr="00D45D17">
        <w:rPr>
          <w:rFonts w:ascii="Times New Roman" w:hAnsi="Times New Roman" w:cs="Times New Roman"/>
        </w:rPr>
        <w:t>por</w:t>
      </w:r>
      <w:r w:rsidRPr="00D45D17">
        <w:rPr>
          <w:rFonts w:ascii="Times New Roman" w:hAnsi="Times New Roman" w:cs="Times New Roman"/>
          <w:spacing w:val="-4"/>
        </w:rPr>
        <w:t xml:space="preserve"> </w:t>
      </w:r>
      <w:r w:rsidRPr="00D45D17">
        <w:rPr>
          <w:rFonts w:ascii="Times New Roman" w:hAnsi="Times New Roman" w:cs="Times New Roman"/>
        </w:rPr>
        <w:t>honorarios,</w:t>
      </w:r>
      <w:r w:rsidRPr="00D45D17">
        <w:rPr>
          <w:rFonts w:ascii="Times New Roman" w:hAnsi="Times New Roman" w:cs="Times New Roman"/>
          <w:spacing w:val="-4"/>
        </w:rPr>
        <w:t xml:space="preserve"> </w:t>
      </w:r>
      <w:r w:rsidRPr="00D45D17">
        <w:rPr>
          <w:rFonts w:ascii="Times New Roman" w:hAnsi="Times New Roman" w:cs="Times New Roman"/>
        </w:rPr>
        <w:t>entre</w:t>
      </w:r>
      <w:r w:rsidRPr="00D45D17">
        <w:rPr>
          <w:rFonts w:ascii="Times New Roman" w:hAnsi="Times New Roman" w:cs="Times New Roman"/>
          <w:spacing w:val="-4"/>
        </w:rPr>
        <w:t xml:space="preserve"> </w:t>
      </w:r>
      <w:r w:rsidRPr="00D45D17">
        <w:rPr>
          <w:rFonts w:ascii="Times New Roman" w:hAnsi="Times New Roman" w:cs="Times New Roman"/>
        </w:rPr>
        <w:t>otros.</w:t>
      </w:r>
      <w:r w:rsidRPr="00D45D17">
        <w:rPr>
          <w:rFonts w:ascii="Times New Roman" w:hAnsi="Times New Roman" w:cs="Times New Roman"/>
          <w:spacing w:val="40"/>
        </w:rPr>
        <w:t xml:space="preserve"> </w:t>
      </w:r>
      <w:r w:rsidRPr="00D45D17">
        <w:rPr>
          <w:rFonts w:ascii="Times New Roman" w:hAnsi="Times New Roman" w:cs="Times New Roman"/>
        </w:rPr>
        <w:t>Además,</w:t>
      </w:r>
      <w:r w:rsidRPr="00D45D17">
        <w:rPr>
          <w:rFonts w:ascii="Times New Roman" w:hAnsi="Times New Roman" w:cs="Times New Roman"/>
          <w:spacing w:val="-1"/>
        </w:rPr>
        <w:t xml:space="preserve"> </w:t>
      </w:r>
      <w:r w:rsidRPr="00D45D17">
        <w:rPr>
          <w:rFonts w:ascii="Times New Roman" w:hAnsi="Times New Roman" w:cs="Times New Roman"/>
        </w:rPr>
        <w:t>declaró</w:t>
      </w:r>
      <w:r w:rsidRPr="00D45D17">
        <w:rPr>
          <w:rFonts w:ascii="Times New Roman" w:hAnsi="Times New Roman" w:cs="Times New Roman"/>
          <w:spacing w:val="-5"/>
        </w:rPr>
        <w:t xml:space="preserve"> </w:t>
      </w:r>
      <w:r w:rsidRPr="00D45D17">
        <w:rPr>
          <w:rFonts w:ascii="Times New Roman" w:hAnsi="Times New Roman" w:cs="Times New Roman"/>
        </w:rPr>
        <w:t>que</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5"/>
        </w:rPr>
        <w:t xml:space="preserve"> </w:t>
      </w:r>
      <w:r w:rsidRPr="00D45D17">
        <w:rPr>
          <w:rFonts w:ascii="Times New Roman" w:hAnsi="Times New Roman" w:cs="Times New Roman"/>
        </w:rPr>
        <w:t>Grupo</w:t>
      </w:r>
      <w:r w:rsidRPr="00D45D17">
        <w:rPr>
          <w:rFonts w:ascii="Times New Roman" w:hAnsi="Times New Roman" w:cs="Times New Roman"/>
          <w:spacing w:val="-4"/>
        </w:rPr>
        <w:t xml:space="preserve"> </w:t>
      </w:r>
      <w:r w:rsidRPr="00D45D17">
        <w:rPr>
          <w:rFonts w:ascii="Times New Roman" w:hAnsi="Times New Roman" w:cs="Times New Roman"/>
        </w:rPr>
        <w:t>ICE no</w:t>
      </w:r>
      <w:r w:rsidRPr="00D45D17">
        <w:rPr>
          <w:rFonts w:ascii="Times New Roman" w:hAnsi="Times New Roman" w:cs="Times New Roman"/>
          <w:spacing w:val="-5"/>
        </w:rPr>
        <w:t xml:space="preserve"> </w:t>
      </w:r>
      <w:r w:rsidRPr="00D45D17">
        <w:rPr>
          <w:rFonts w:ascii="Times New Roman" w:hAnsi="Times New Roman" w:cs="Times New Roman"/>
        </w:rPr>
        <w:t>tenía</w:t>
      </w:r>
      <w:r w:rsidRPr="00D45D17">
        <w:rPr>
          <w:rFonts w:ascii="Times New Roman" w:hAnsi="Times New Roman" w:cs="Times New Roman"/>
          <w:spacing w:val="-7"/>
        </w:rPr>
        <w:t xml:space="preserve"> </w:t>
      </w:r>
      <w:r w:rsidRPr="00D45D17">
        <w:rPr>
          <w:rFonts w:ascii="Times New Roman" w:hAnsi="Times New Roman" w:cs="Times New Roman"/>
        </w:rPr>
        <w:t>derecho</w:t>
      </w:r>
      <w:r w:rsidRPr="00D45D17">
        <w:rPr>
          <w:rFonts w:ascii="Times New Roman" w:hAnsi="Times New Roman" w:cs="Times New Roman"/>
          <w:spacing w:val="-5"/>
        </w:rPr>
        <w:t xml:space="preserve"> </w:t>
      </w:r>
      <w:r w:rsidRPr="00D45D17">
        <w:rPr>
          <w:rFonts w:ascii="Times New Roman" w:hAnsi="Times New Roman" w:cs="Times New Roman"/>
        </w:rPr>
        <w:t>a</w:t>
      </w:r>
      <w:r w:rsidRPr="00D45D17">
        <w:rPr>
          <w:rFonts w:ascii="Times New Roman" w:hAnsi="Times New Roman" w:cs="Times New Roman"/>
          <w:spacing w:val="-7"/>
        </w:rPr>
        <w:t xml:space="preserve"> </w:t>
      </w:r>
      <w:r w:rsidRPr="00D45D17">
        <w:rPr>
          <w:rFonts w:ascii="Times New Roman" w:hAnsi="Times New Roman" w:cs="Times New Roman"/>
        </w:rPr>
        <w:t>cobrar</w:t>
      </w:r>
      <w:r w:rsidRPr="00D45D17">
        <w:rPr>
          <w:rFonts w:ascii="Times New Roman" w:hAnsi="Times New Roman" w:cs="Times New Roman"/>
          <w:spacing w:val="-6"/>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cláusula</w:t>
      </w:r>
      <w:r w:rsidRPr="00D45D17">
        <w:rPr>
          <w:rFonts w:ascii="Times New Roman" w:hAnsi="Times New Roman" w:cs="Times New Roman"/>
          <w:spacing w:val="-4"/>
        </w:rPr>
        <w:t xml:space="preserve"> </w:t>
      </w:r>
      <w:r w:rsidRPr="00D45D17">
        <w:rPr>
          <w:rFonts w:ascii="Times New Roman" w:hAnsi="Times New Roman" w:cs="Times New Roman"/>
        </w:rPr>
        <w:t>penal</w:t>
      </w:r>
      <w:r w:rsidRPr="00D45D17">
        <w:rPr>
          <w:rFonts w:ascii="Times New Roman" w:hAnsi="Times New Roman" w:cs="Times New Roman"/>
          <w:spacing w:val="-4"/>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multa</w:t>
      </w:r>
      <w:r w:rsidRPr="00D45D17">
        <w:rPr>
          <w:rFonts w:ascii="Times New Roman" w:hAnsi="Times New Roman" w:cs="Times New Roman"/>
          <w:spacing w:val="-7"/>
        </w:rPr>
        <w:t xml:space="preserve"> </w:t>
      </w:r>
      <w:r w:rsidRPr="00D45D17">
        <w:rPr>
          <w:rFonts w:ascii="Times New Roman" w:hAnsi="Times New Roman" w:cs="Times New Roman"/>
        </w:rPr>
        <w:t>mencionada).</w:t>
      </w:r>
      <w:r w:rsidRPr="00D45D17">
        <w:rPr>
          <w:rFonts w:ascii="Times New Roman" w:hAnsi="Times New Roman" w:cs="Times New Roman"/>
          <w:spacing w:val="-5"/>
        </w:rPr>
        <w:t xml:space="preserve"> </w:t>
      </w:r>
      <w:r w:rsidRPr="00D45D17">
        <w:rPr>
          <w:rFonts w:ascii="Times New Roman" w:hAnsi="Times New Roman" w:cs="Times New Roman"/>
        </w:rPr>
        <w:t>Como</w:t>
      </w:r>
      <w:r w:rsidRPr="00D45D17">
        <w:rPr>
          <w:rFonts w:ascii="Times New Roman" w:hAnsi="Times New Roman" w:cs="Times New Roman"/>
          <w:spacing w:val="-7"/>
        </w:rPr>
        <w:t xml:space="preserve"> </w:t>
      </w:r>
      <w:r w:rsidRPr="00D45D17">
        <w:rPr>
          <w:rFonts w:ascii="Times New Roman" w:hAnsi="Times New Roman" w:cs="Times New Roman"/>
        </w:rPr>
        <w:t>argumento</w:t>
      </w:r>
      <w:r w:rsidRPr="00D45D17">
        <w:rPr>
          <w:rFonts w:ascii="Times New Roman" w:hAnsi="Times New Roman" w:cs="Times New Roman"/>
          <w:spacing w:val="-5"/>
        </w:rPr>
        <w:t xml:space="preserve"> </w:t>
      </w:r>
      <w:r w:rsidRPr="00D45D17">
        <w:rPr>
          <w:rFonts w:ascii="Times New Roman" w:hAnsi="Times New Roman" w:cs="Times New Roman"/>
        </w:rPr>
        <w:t>principal para condenar al Grupo ICE en el pago de extra-costos, la instancia legal mencionada señaló el</w:t>
      </w:r>
      <w:r w:rsidRPr="00D45D17">
        <w:rPr>
          <w:rFonts w:ascii="Times New Roman" w:hAnsi="Times New Roman" w:cs="Times New Roman"/>
          <w:spacing w:val="-4"/>
        </w:rPr>
        <w:t xml:space="preserve"> </w:t>
      </w:r>
      <w:r w:rsidRPr="00D45D17">
        <w:rPr>
          <w:rFonts w:ascii="Times New Roman" w:hAnsi="Times New Roman" w:cs="Times New Roman"/>
        </w:rPr>
        <w:t>deber</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cancelar</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costo</w:t>
      </w:r>
      <w:r w:rsidRPr="00D45D17">
        <w:rPr>
          <w:rFonts w:ascii="Times New Roman" w:hAnsi="Times New Roman" w:cs="Times New Roman"/>
          <w:spacing w:val="-5"/>
        </w:rPr>
        <w:t xml:space="preserve"> </w:t>
      </w:r>
      <w:r w:rsidRPr="00D45D17">
        <w:rPr>
          <w:rFonts w:ascii="Times New Roman" w:hAnsi="Times New Roman" w:cs="Times New Roman"/>
        </w:rPr>
        <w:t>o</w:t>
      </w:r>
      <w:r w:rsidRPr="00D45D17">
        <w:rPr>
          <w:rFonts w:ascii="Times New Roman" w:hAnsi="Times New Roman" w:cs="Times New Roman"/>
          <w:spacing w:val="-5"/>
        </w:rPr>
        <w:t xml:space="preserve"> </w:t>
      </w:r>
      <w:r w:rsidRPr="00D45D17">
        <w:rPr>
          <w:rFonts w:ascii="Times New Roman" w:hAnsi="Times New Roman" w:cs="Times New Roman"/>
        </w:rPr>
        <w:t>valor</w:t>
      </w:r>
      <w:r w:rsidRPr="00D45D17">
        <w:rPr>
          <w:rFonts w:ascii="Times New Roman" w:hAnsi="Times New Roman" w:cs="Times New Roman"/>
          <w:spacing w:val="-4"/>
        </w:rPr>
        <w:t xml:space="preserve"> </w:t>
      </w:r>
      <w:r w:rsidRPr="00D45D17">
        <w:rPr>
          <w:rFonts w:ascii="Times New Roman" w:hAnsi="Times New Roman" w:cs="Times New Roman"/>
        </w:rPr>
        <w:t>real</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la</w:t>
      </w:r>
      <w:r w:rsidRPr="00D45D17">
        <w:rPr>
          <w:rFonts w:ascii="Times New Roman" w:hAnsi="Times New Roman" w:cs="Times New Roman"/>
          <w:spacing w:val="-4"/>
        </w:rPr>
        <w:t xml:space="preserve"> </w:t>
      </w:r>
      <w:r w:rsidRPr="00D45D17">
        <w:rPr>
          <w:rFonts w:ascii="Times New Roman" w:hAnsi="Times New Roman" w:cs="Times New Roman"/>
        </w:rPr>
        <w:t>planta,</w:t>
      </w:r>
      <w:r w:rsidRPr="00D45D17">
        <w:rPr>
          <w:rFonts w:ascii="Times New Roman" w:hAnsi="Times New Roman" w:cs="Times New Roman"/>
          <w:spacing w:val="-4"/>
        </w:rPr>
        <w:t xml:space="preserve"> </w:t>
      </w:r>
      <w:r w:rsidRPr="00D45D17">
        <w:rPr>
          <w:rFonts w:ascii="Times New Roman" w:hAnsi="Times New Roman" w:cs="Times New Roman"/>
        </w:rPr>
        <w:t>para</w:t>
      </w:r>
      <w:r w:rsidRPr="00D45D17">
        <w:rPr>
          <w:rFonts w:ascii="Times New Roman" w:hAnsi="Times New Roman" w:cs="Times New Roman"/>
          <w:spacing w:val="-4"/>
        </w:rPr>
        <w:t xml:space="preserve"> </w:t>
      </w:r>
      <w:r w:rsidRPr="00D45D17">
        <w:rPr>
          <w:rFonts w:ascii="Times New Roman" w:hAnsi="Times New Roman" w:cs="Times New Roman"/>
        </w:rPr>
        <w:t>restablecer</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equilibrio</w:t>
      </w:r>
      <w:r w:rsidRPr="00D45D17">
        <w:rPr>
          <w:rFonts w:ascii="Times New Roman" w:hAnsi="Times New Roman" w:cs="Times New Roman"/>
          <w:spacing w:val="-7"/>
        </w:rPr>
        <w:t xml:space="preserve"> </w:t>
      </w:r>
      <w:r w:rsidRPr="00D45D17">
        <w:rPr>
          <w:rFonts w:ascii="Times New Roman" w:hAnsi="Times New Roman" w:cs="Times New Roman"/>
        </w:rPr>
        <w:t>económico del contrato y evitar el supuesto enriquecimiento sin causa por parte del Grupo ICE.</w:t>
      </w:r>
      <w:r w:rsidRPr="00D45D17">
        <w:rPr>
          <w:rFonts w:ascii="Times New Roman" w:hAnsi="Times New Roman" w:cs="Times New Roman"/>
          <w:spacing w:val="40"/>
        </w:rPr>
        <w:t xml:space="preserve"> </w:t>
      </w:r>
      <w:r w:rsidRPr="00D45D17">
        <w:rPr>
          <w:rFonts w:ascii="Times New Roman" w:hAnsi="Times New Roman" w:cs="Times New Roman"/>
        </w:rPr>
        <w:t>La condena señaló que el Grupo ICE debía pagar US$112,7 (millones de dólares) y ¢6.328.</w:t>
      </w:r>
    </w:p>
    <w:p w14:paraId="19179364" w14:textId="77777777" w:rsidR="00CC74F4" w:rsidRDefault="00CC74F4" w:rsidP="00CC74F4">
      <w:pPr>
        <w:pStyle w:val="Textoindependiente"/>
        <w:spacing w:before="2"/>
      </w:pPr>
    </w:p>
    <w:p w14:paraId="387E166E" w14:textId="77777777" w:rsidR="00CC74F4" w:rsidRPr="00D45D17" w:rsidRDefault="00CC74F4" w:rsidP="00CC74F4">
      <w:pPr>
        <w:pStyle w:val="Textoindependiente"/>
        <w:ind w:left="807" w:right="105" w:hanging="706"/>
        <w:rPr>
          <w:rFonts w:ascii="Times New Roman" w:hAnsi="Times New Roman" w:cs="Times New Roman"/>
        </w:rPr>
      </w:pPr>
      <w:r w:rsidRPr="00D45D17">
        <w:rPr>
          <w:rFonts w:ascii="Times New Roman" w:hAnsi="Times New Roman" w:cs="Times New Roman"/>
        </w:rPr>
        <w:t>El 15 de diciembre de 2017, el Grupo ICE presentó ante la Sala Primera de la Corte Suprema de Justicia, un recurso de nulidad al Laudo Arbitral mencionado, argumentando la existencia de sendos vicios que generan la nulidad del mismo, tales como, conflicto de intereses de los árbitros,</w:t>
      </w:r>
      <w:r w:rsidRPr="00D45D17">
        <w:rPr>
          <w:rFonts w:ascii="Times New Roman" w:hAnsi="Times New Roman" w:cs="Times New Roman"/>
          <w:spacing w:val="-1"/>
        </w:rPr>
        <w:t xml:space="preserve"> </w:t>
      </w:r>
      <w:r w:rsidRPr="00D45D17">
        <w:rPr>
          <w:rFonts w:ascii="Times New Roman" w:hAnsi="Times New Roman" w:cs="Times New Roman"/>
        </w:rPr>
        <w:t>violación</w:t>
      </w:r>
      <w:r w:rsidRPr="00D45D17">
        <w:rPr>
          <w:rFonts w:ascii="Times New Roman" w:hAnsi="Times New Roman" w:cs="Times New Roman"/>
          <w:spacing w:val="-2"/>
        </w:rPr>
        <w:t xml:space="preserve"> </w:t>
      </w:r>
      <w:r w:rsidRPr="00D45D17">
        <w:rPr>
          <w:rFonts w:ascii="Times New Roman" w:hAnsi="Times New Roman" w:cs="Times New Roman"/>
        </w:rPr>
        <w:t>al</w:t>
      </w:r>
      <w:r w:rsidRPr="00D45D17">
        <w:rPr>
          <w:rFonts w:ascii="Times New Roman" w:hAnsi="Times New Roman" w:cs="Times New Roman"/>
          <w:spacing w:val="-4"/>
        </w:rPr>
        <w:t xml:space="preserve"> </w:t>
      </w:r>
      <w:r w:rsidRPr="00D45D17">
        <w:rPr>
          <w:rFonts w:ascii="Times New Roman" w:hAnsi="Times New Roman" w:cs="Times New Roman"/>
        </w:rPr>
        <w:t>debido</w:t>
      </w:r>
      <w:r w:rsidRPr="00D45D17">
        <w:rPr>
          <w:rFonts w:ascii="Times New Roman" w:hAnsi="Times New Roman" w:cs="Times New Roman"/>
          <w:spacing w:val="-2"/>
        </w:rPr>
        <w:t xml:space="preserve"> </w:t>
      </w:r>
      <w:r w:rsidRPr="00D45D17">
        <w:rPr>
          <w:rFonts w:ascii="Times New Roman" w:hAnsi="Times New Roman" w:cs="Times New Roman"/>
        </w:rPr>
        <w:t>proceso,</w:t>
      </w:r>
      <w:r w:rsidRPr="00D45D17">
        <w:rPr>
          <w:rFonts w:ascii="Times New Roman" w:hAnsi="Times New Roman" w:cs="Times New Roman"/>
          <w:spacing w:val="-2"/>
        </w:rPr>
        <w:t xml:space="preserve"> </w:t>
      </w:r>
      <w:r w:rsidRPr="00D45D17">
        <w:rPr>
          <w:rFonts w:ascii="Times New Roman" w:hAnsi="Times New Roman" w:cs="Times New Roman"/>
        </w:rPr>
        <w:t>violación</w:t>
      </w:r>
      <w:r w:rsidRPr="00D45D17">
        <w:rPr>
          <w:rFonts w:ascii="Times New Roman" w:hAnsi="Times New Roman" w:cs="Times New Roman"/>
          <w:spacing w:val="-2"/>
        </w:rPr>
        <w:t xml:space="preserve"> </w:t>
      </w:r>
      <w:r w:rsidRPr="00D45D17">
        <w:rPr>
          <w:rFonts w:ascii="Times New Roman" w:hAnsi="Times New Roman" w:cs="Times New Roman"/>
        </w:rPr>
        <w:t>al</w:t>
      </w:r>
      <w:r w:rsidRPr="00D45D17">
        <w:rPr>
          <w:rFonts w:ascii="Times New Roman" w:hAnsi="Times New Roman" w:cs="Times New Roman"/>
          <w:spacing w:val="-4"/>
        </w:rPr>
        <w:t xml:space="preserve"> </w:t>
      </w:r>
      <w:r w:rsidRPr="00D45D17">
        <w:rPr>
          <w:rFonts w:ascii="Times New Roman" w:hAnsi="Times New Roman" w:cs="Times New Roman"/>
        </w:rPr>
        <w:t>principio</w:t>
      </w:r>
      <w:r w:rsidRPr="00D45D17">
        <w:rPr>
          <w:rFonts w:ascii="Times New Roman" w:hAnsi="Times New Roman" w:cs="Times New Roman"/>
          <w:spacing w:val="-2"/>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imparcialidad,</w:t>
      </w:r>
      <w:r w:rsidRPr="00D45D17">
        <w:rPr>
          <w:rFonts w:ascii="Times New Roman" w:hAnsi="Times New Roman" w:cs="Times New Roman"/>
          <w:spacing w:val="-2"/>
        </w:rPr>
        <w:t xml:space="preserve"> </w:t>
      </w:r>
      <w:r w:rsidRPr="00D45D17">
        <w:rPr>
          <w:rFonts w:ascii="Times New Roman" w:hAnsi="Times New Roman" w:cs="Times New Roman"/>
        </w:rPr>
        <w:t>violación</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las reglas</w:t>
      </w:r>
      <w:r w:rsidRPr="00D45D17">
        <w:rPr>
          <w:rFonts w:ascii="Times New Roman" w:hAnsi="Times New Roman" w:cs="Times New Roman"/>
          <w:spacing w:val="-12"/>
        </w:rPr>
        <w:t xml:space="preserve"> </w:t>
      </w:r>
      <w:r w:rsidRPr="00D45D17">
        <w:rPr>
          <w:rFonts w:ascii="Times New Roman" w:hAnsi="Times New Roman" w:cs="Times New Roman"/>
        </w:rPr>
        <w:t>del</w:t>
      </w:r>
      <w:r w:rsidRPr="00D45D17">
        <w:rPr>
          <w:rFonts w:ascii="Times New Roman" w:hAnsi="Times New Roman" w:cs="Times New Roman"/>
          <w:spacing w:val="-12"/>
        </w:rPr>
        <w:t xml:space="preserve"> </w:t>
      </w:r>
      <w:r w:rsidRPr="00D45D17">
        <w:rPr>
          <w:rFonts w:ascii="Times New Roman" w:hAnsi="Times New Roman" w:cs="Times New Roman"/>
        </w:rPr>
        <w:t>procedimiento</w:t>
      </w:r>
      <w:r w:rsidRPr="00D45D17">
        <w:rPr>
          <w:rFonts w:ascii="Times New Roman" w:hAnsi="Times New Roman" w:cs="Times New Roman"/>
          <w:spacing w:val="-12"/>
        </w:rPr>
        <w:t xml:space="preserve"> </w:t>
      </w:r>
      <w:r w:rsidRPr="00D45D17">
        <w:rPr>
          <w:rFonts w:ascii="Times New Roman" w:hAnsi="Times New Roman" w:cs="Times New Roman"/>
        </w:rPr>
        <w:t>arbitral</w:t>
      </w:r>
      <w:r w:rsidRPr="00D45D17">
        <w:rPr>
          <w:rFonts w:ascii="Times New Roman" w:hAnsi="Times New Roman" w:cs="Times New Roman"/>
          <w:spacing w:val="-12"/>
        </w:rPr>
        <w:t xml:space="preserve"> </w:t>
      </w:r>
      <w:r w:rsidRPr="00D45D17">
        <w:rPr>
          <w:rFonts w:ascii="Times New Roman" w:hAnsi="Times New Roman" w:cs="Times New Roman"/>
        </w:rPr>
        <w:t>por</w:t>
      </w:r>
      <w:r w:rsidRPr="00D45D17">
        <w:rPr>
          <w:rFonts w:ascii="Times New Roman" w:hAnsi="Times New Roman" w:cs="Times New Roman"/>
          <w:spacing w:val="-12"/>
        </w:rPr>
        <w:t xml:space="preserve"> </w:t>
      </w:r>
      <w:r w:rsidRPr="00D45D17">
        <w:rPr>
          <w:rFonts w:ascii="Times New Roman" w:hAnsi="Times New Roman" w:cs="Times New Roman"/>
        </w:rPr>
        <w:t>denegatoria</w:t>
      </w:r>
      <w:r w:rsidRPr="00D45D17">
        <w:rPr>
          <w:rFonts w:ascii="Times New Roman" w:hAnsi="Times New Roman" w:cs="Times New Roman"/>
          <w:spacing w:val="-12"/>
        </w:rPr>
        <w:t xml:space="preserve"> </w:t>
      </w:r>
      <w:r w:rsidRPr="00D45D17">
        <w:rPr>
          <w:rFonts w:ascii="Times New Roman" w:hAnsi="Times New Roman" w:cs="Times New Roman"/>
        </w:rPr>
        <w:t>a</w:t>
      </w:r>
      <w:r w:rsidRPr="00D45D17">
        <w:rPr>
          <w:rFonts w:ascii="Times New Roman" w:hAnsi="Times New Roman" w:cs="Times New Roman"/>
          <w:spacing w:val="-12"/>
        </w:rPr>
        <w:t xml:space="preserve"> </w:t>
      </w:r>
      <w:r w:rsidRPr="00D45D17">
        <w:rPr>
          <w:rFonts w:ascii="Times New Roman" w:hAnsi="Times New Roman" w:cs="Times New Roman"/>
        </w:rPr>
        <w:t>derechos</w:t>
      </w:r>
      <w:r w:rsidRPr="00D45D17">
        <w:rPr>
          <w:rFonts w:ascii="Times New Roman" w:hAnsi="Times New Roman" w:cs="Times New Roman"/>
          <w:spacing w:val="-12"/>
        </w:rPr>
        <w:t xml:space="preserve"> </w:t>
      </w:r>
      <w:r w:rsidRPr="00D45D17">
        <w:rPr>
          <w:rFonts w:ascii="Times New Roman" w:hAnsi="Times New Roman" w:cs="Times New Roman"/>
        </w:rPr>
        <w:t>de</w:t>
      </w:r>
      <w:r w:rsidRPr="00D45D17">
        <w:rPr>
          <w:rFonts w:ascii="Times New Roman" w:hAnsi="Times New Roman" w:cs="Times New Roman"/>
          <w:spacing w:val="-12"/>
        </w:rPr>
        <w:t xml:space="preserve"> </w:t>
      </w:r>
      <w:r w:rsidRPr="00D45D17">
        <w:rPr>
          <w:rFonts w:ascii="Times New Roman" w:hAnsi="Times New Roman" w:cs="Times New Roman"/>
        </w:rPr>
        <w:t>audiencia</w:t>
      </w:r>
      <w:r w:rsidRPr="00D45D17">
        <w:rPr>
          <w:rFonts w:ascii="Times New Roman" w:hAnsi="Times New Roman" w:cs="Times New Roman"/>
          <w:spacing w:val="-12"/>
        </w:rPr>
        <w:t xml:space="preserve"> </w:t>
      </w:r>
      <w:r w:rsidRPr="00D45D17">
        <w:rPr>
          <w:rFonts w:ascii="Times New Roman" w:hAnsi="Times New Roman" w:cs="Times New Roman"/>
        </w:rPr>
        <w:t>sobre</w:t>
      </w:r>
      <w:r w:rsidRPr="00D45D17">
        <w:rPr>
          <w:rFonts w:ascii="Times New Roman" w:hAnsi="Times New Roman" w:cs="Times New Roman"/>
          <w:spacing w:val="-12"/>
        </w:rPr>
        <w:t xml:space="preserve"> </w:t>
      </w:r>
      <w:r w:rsidRPr="00D45D17">
        <w:rPr>
          <w:rFonts w:ascii="Times New Roman" w:hAnsi="Times New Roman" w:cs="Times New Roman"/>
        </w:rPr>
        <w:t>pruebas</w:t>
      </w:r>
      <w:r w:rsidRPr="00D45D17">
        <w:rPr>
          <w:rFonts w:ascii="Times New Roman" w:hAnsi="Times New Roman" w:cs="Times New Roman"/>
          <w:spacing w:val="-12"/>
        </w:rPr>
        <w:t xml:space="preserve"> </w:t>
      </w:r>
      <w:r w:rsidRPr="00D45D17">
        <w:rPr>
          <w:rFonts w:ascii="Times New Roman" w:hAnsi="Times New Roman" w:cs="Times New Roman"/>
        </w:rPr>
        <w:t>y</w:t>
      </w:r>
      <w:r w:rsidRPr="00D45D17">
        <w:rPr>
          <w:rFonts w:ascii="Times New Roman" w:hAnsi="Times New Roman" w:cs="Times New Roman"/>
          <w:spacing w:val="-12"/>
        </w:rPr>
        <w:t xml:space="preserve"> </w:t>
      </w:r>
      <w:r w:rsidRPr="00D45D17">
        <w:rPr>
          <w:rFonts w:ascii="Times New Roman" w:hAnsi="Times New Roman" w:cs="Times New Roman"/>
        </w:rPr>
        <w:t>trato desigual,</w:t>
      </w:r>
      <w:r w:rsidRPr="00D45D17">
        <w:rPr>
          <w:rFonts w:ascii="Times New Roman" w:hAnsi="Times New Roman" w:cs="Times New Roman"/>
          <w:spacing w:val="-8"/>
        </w:rPr>
        <w:t xml:space="preserve"> </w:t>
      </w:r>
      <w:r w:rsidRPr="00D45D17">
        <w:rPr>
          <w:rFonts w:ascii="Times New Roman" w:hAnsi="Times New Roman" w:cs="Times New Roman"/>
        </w:rPr>
        <w:t>falta</w:t>
      </w:r>
      <w:r w:rsidRPr="00D45D17">
        <w:rPr>
          <w:rFonts w:ascii="Times New Roman" w:hAnsi="Times New Roman" w:cs="Times New Roman"/>
          <w:spacing w:val="-10"/>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uniformidad</w:t>
      </w:r>
      <w:r w:rsidRPr="00D45D17">
        <w:rPr>
          <w:rFonts w:ascii="Times New Roman" w:hAnsi="Times New Roman" w:cs="Times New Roman"/>
          <w:spacing w:val="-8"/>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la</w:t>
      </w:r>
      <w:r w:rsidRPr="00D45D17">
        <w:rPr>
          <w:rFonts w:ascii="Times New Roman" w:hAnsi="Times New Roman" w:cs="Times New Roman"/>
          <w:spacing w:val="-10"/>
        </w:rPr>
        <w:t xml:space="preserve"> </w:t>
      </w:r>
      <w:r w:rsidRPr="00D45D17">
        <w:rPr>
          <w:rFonts w:ascii="Times New Roman" w:hAnsi="Times New Roman" w:cs="Times New Roman"/>
        </w:rPr>
        <w:t>jurisprudencia,</w:t>
      </w:r>
      <w:r w:rsidRPr="00D45D17">
        <w:rPr>
          <w:rFonts w:ascii="Times New Roman" w:hAnsi="Times New Roman" w:cs="Times New Roman"/>
          <w:spacing w:val="-8"/>
        </w:rPr>
        <w:t xml:space="preserve"> </w:t>
      </w:r>
      <w:r w:rsidRPr="00D45D17">
        <w:rPr>
          <w:rFonts w:ascii="Times New Roman" w:hAnsi="Times New Roman" w:cs="Times New Roman"/>
        </w:rPr>
        <w:t>violación</w:t>
      </w:r>
      <w:r w:rsidRPr="00D45D17">
        <w:rPr>
          <w:rFonts w:ascii="Times New Roman" w:hAnsi="Times New Roman" w:cs="Times New Roman"/>
          <w:spacing w:val="-11"/>
        </w:rPr>
        <w:t xml:space="preserve"> </w:t>
      </w:r>
      <w:r w:rsidRPr="00D45D17">
        <w:rPr>
          <w:rFonts w:ascii="Times New Roman" w:hAnsi="Times New Roman" w:cs="Times New Roman"/>
        </w:rPr>
        <w:t>a</w:t>
      </w:r>
      <w:r w:rsidRPr="00D45D17">
        <w:rPr>
          <w:rFonts w:ascii="Times New Roman" w:hAnsi="Times New Roman" w:cs="Times New Roman"/>
          <w:spacing w:val="-10"/>
        </w:rPr>
        <w:t xml:space="preserve"> </w:t>
      </w:r>
      <w:r w:rsidRPr="00D45D17">
        <w:rPr>
          <w:rFonts w:ascii="Times New Roman" w:hAnsi="Times New Roman" w:cs="Times New Roman"/>
        </w:rPr>
        <w:t>normas</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8"/>
        </w:rPr>
        <w:t xml:space="preserve"> </w:t>
      </w:r>
      <w:r w:rsidRPr="00D45D17">
        <w:rPr>
          <w:rFonts w:ascii="Times New Roman" w:hAnsi="Times New Roman" w:cs="Times New Roman"/>
        </w:rPr>
        <w:t>orden</w:t>
      </w:r>
      <w:r w:rsidRPr="00D45D17">
        <w:rPr>
          <w:rFonts w:ascii="Times New Roman" w:hAnsi="Times New Roman" w:cs="Times New Roman"/>
          <w:spacing w:val="-10"/>
        </w:rPr>
        <w:t xml:space="preserve"> </w:t>
      </w:r>
      <w:r w:rsidRPr="00D45D17">
        <w:rPr>
          <w:rFonts w:ascii="Times New Roman" w:hAnsi="Times New Roman" w:cs="Times New Roman"/>
        </w:rPr>
        <w:t>público,</w:t>
      </w:r>
      <w:r w:rsidRPr="00D45D17">
        <w:rPr>
          <w:rFonts w:ascii="Times New Roman" w:hAnsi="Times New Roman" w:cs="Times New Roman"/>
          <w:spacing w:val="-10"/>
        </w:rPr>
        <w:t xml:space="preserve"> </w:t>
      </w:r>
      <w:r w:rsidRPr="00D45D17">
        <w:rPr>
          <w:rFonts w:ascii="Times New Roman" w:hAnsi="Times New Roman" w:cs="Times New Roman"/>
        </w:rPr>
        <w:t>entre otras.</w:t>
      </w:r>
      <w:r w:rsidRPr="00D45D17">
        <w:rPr>
          <w:rFonts w:ascii="Times New Roman" w:hAnsi="Times New Roman" w:cs="Times New Roman"/>
          <w:spacing w:val="40"/>
        </w:rPr>
        <w:t xml:space="preserve"> </w:t>
      </w:r>
      <w:r w:rsidRPr="00D45D17">
        <w:rPr>
          <w:rFonts w:ascii="Times New Roman" w:hAnsi="Times New Roman" w:cs="Times New Roman"/>
        </w:rPr>
        <w:t xml:space="preserve">Según la Ley de Resolución Alterna de Conflictos, la interposición de ese recurso de nulidad no suspende la ejecución del Laudo, por lo que el contratista podría invocar la ejecución del mismo; sin embargo, para esos efectos, esta empresa tendría que interponer un proceso judicial de “ejecución de sentencia” contra el Grupo ICE, en el que necesariamente sería parte la ARESEP como regulador del Negocio de Electricidad y responsable de fijar </w:t>
      </w:r>
      <w:r w:rsidRPr="00D45D17">
        <w:rPr>
          <w:rFonts w:ascii="Times New Roman" w:hAnsi="Times New Roman" w:cs="Times New Roman"/>
          <w:spacing w:val="-2"/>
        </w:rPr>
        <w:t>tarifas.</w:t>
      </w:r>
    </w:p>
    <w:p w14:paraId="582F4F27" w14:textId="77777777" w:rsidR="00CC74F4" w:rsidRDefault="00CC74F4" w:rsidP="00CC74F4">
      <w:pPr>
        <w:pStyle w:val="Textoindependiente"/>
        <w:spacing w:before="11"/>
        <w:rPr>
          <w:sz w:val="21"/>
        </w:rPr>
      </w:pPr>
    </w:p>
    <w:p w14:paraId="29FC792A" w14:textId="77777777" w:rsidR="00CC74F4" w:rsidRPr="00D45D17" w:rsidRDefault="00CC74F4" w:rsidP="00CC74F4">
      <w:pPr>
        <w:pStyle w:val="Textoindependiente"/>
        <w:ind w:left="807" w:right="111" w:hanging="706"/>
        <w:rPr>
          <w:rFonts w:ascii="Times New Roman" w:hAnsi="Times New Roman" w:cs="Times New Roman"/>
        </w:rPr>
      </w:pPr>
      <w:r w:rsidRPr="00D45D17">
        <w:rPr>
          <w:rFonts w:ascii="Times New Roman" w:hAnsi="Times New Roman" w:cs="Times New Roman"/>
        </w:rPr>
        <w:t>El 27 de</w:t>
      </w:r>
      <w:r w:rsidRPr="00D45D17">
        <w:rPr>
          <w:rFonts w:ascii="Times New Roman" w:hAnsi="Times New Roman" w:cs="Times New Roman"/>
          <w:spacing w:val="-1"/>
        </w:rPr>
        <w:t xml:space="preserve"> </w:t>
      </w:r>
      <w:r w:rsidRPr="00D45D17">
        <w:rPr>
          <w:rFonts w:ascii="Times New Roman" w:hAnsi="Times New Roman" w:cs="Times New Roman"/>
        </w:rPr>
        <w:t>junio de 2019, la</w:t>
      </w:r>
      <w:r w:rsidRPr="00D45D17">
        <w:rPr>
          <w:rFonts w:ascii="Times New Roman" w:hAnsi="Times New Roman" w:cs="Times New Roman"/>
          <w:spacing w:val="-1"/>
        </w:rPr>
        <w:t xml:space="preserve"> </w:t>
      </w:r>
      <w:r w:rsidRPr="00D45D17">
        <w:rPr>
          <w:rFonts w:ascii="Times New Roman" w:hAnsi="Times New Roman" w:cs="Times New Roman"/>
        </w:rPr>
        <w:t>Sala Primera de</w:t>
      </w:r>
      <w:r w:rsidRPr="00D45D17">
        <w:rPr>
          <w:rFonts w:ascii="Times New Roman" w:hAnsi="Times New Roman" w:cs="Times New Roman"/>
          <w:spacing w:val="-1"/>
        </w:rPr>
        <w:t xml:space="preserve"> </w:t>
      </w:r>
      <w:r w:rsidRPr="00D45D17">
        <w:rPr>
          <w:rFonts w:ascii="Times New Roman" w:hAnsi="Times New Roman" w:cs="Times New Roman"/>
        </w:rPr>
        <w:t>la Corte Suprema de</w:t>
      </w:r>
      <w:r w:rsidRPr="00D45D17">
        <w:rPr>
          <w:rFonts w:ascii="Times New Roman" w:hAnsi="Times New Roman" w:cs="Times New Roman"/>
          <w:spacing w:val="-1"/>
        </w:rPr>
        <w:t xml:space="preserve"> </w:t>
      </w:r>
      <w:r w:rsidRPr="00D45D17">
        <w:rPr>
          <w:rFonts w:ascii="Times New Roman" w:hAnsi="Times New Roman" w:cs="Times New Roman"/>
        </w:rPr>
        <w:t>Justicia,</w:t>
      </w:r>
      <w:r w:rsidRPr="00D45D17">
        <w:rPr>
          <w:rFonts w:ascii="Times New Roman" w:hAnsi="Times New Roman" w:cs="Times New Roman"/>
          <w:spacing w:val="-1"/>
        </w:rPr>
        <w:t xml:space="preserve"> </w:t>
      </w:r>
      <w:r w:rsidRPr="00D45D17">
        <w:rPr>
          <w:rFonts w:ascii="Times New Roman" w:hAnsi="Times New Roman" w:cs="Times New Roman"/>
        </w:rPr>
        <w:t>acogió el recurso de nulidad interpuesto por el Grupo ICE y anuló el Laudo, desapareciendo la obligación de pago.</w:t>
      </w:r>
    </w:p>
    <w:p w14:paraId="55C10C9C" w14:textId="77777777" w:rsidR="00CC74F4" w:rsidRPr="00D45D17" w:rsidRDefault="00CC74F4" w:rsidP="00CC74F4">
      <w:pPr>
        <w:pStyle w:val="Textoindependiente"/>
        <w:spacing w:before="11"/>
        <w:rPr>
          <w:rFonts w:ascii="Times New Roman" w:hAnsi="Times New Roman" w:cs="Times New Roman"/>
          <w:sz w:val="21"/>
        </w:rPr>
      </w:pPr>
    </w:p>
    <w:p w14:paraId="6A0D9A08" w14:textId="77777777" w:rsidR="00CC74F4" w:rsidRPr="00D45D17" w:rsidRDefault="00CC74F4" w:rsidP="00CC74F4">
      <w:pPr>
        <w:pStyle w:val="Textoindependiente"/>
        <w:ind w:left="807" w:right="104" w:hanging="706"/>
        <w:rPr>
          <w:rFonts w:ascii="Times New Roman" w:hAnsi="Times New Roman" w:cs="Times New Roman"/>
        </w:rPr>
      </w:pP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31</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julio</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2020,</w:t>
      </w:r>
      <w:r w:rsidRPr="00D45D17">
        <w:rPr>
          <w:rFonts w:ascii="Times New Roman" w:hAnsi="Times New Roman" w:cs="Times New Roman"/>
          <w:spacing w:val="-5"/>
        </w:rPr>
        <w:t xml:space="preserve"> </w:t>
      </w:r>
      <w:r w:rsidRPr="00D45D17">
        <w:rPr>
          <w:rFonts w:ascii="Times New Roman" w:hAnsi="Times New Roman" w:cs="Times New Roman"/>
        </w:rPr>
        <w:t>el</w:t>
      </w:r>
      <w:r w:rsidRPr="00D45D17">
        <w:rPr>
          <w:rFonts w:ascii="Times New Roman" w:hAnsi="Times New Roman" w:cs="Times New Roman"/>
          <w:spacing w:val="-2"/>
        </w:rPr>
        <w:t xml:space="preserve"> </w:t>
      </w:r>
      <w:r w:rsidRPr="00D45D17">
        <w:rPr>
          <w:rFonts w:ascii="Times New Roman" w:hAnsi="Times New Roman" w:cs="Times New Roman"/>
        </w:rPr>
        <w:t>Grupo</w:t>
      </w:r>
      <w:r w:rsidRPr="00D45D17">
        <w:rPr>
          <w:rFonts w:ascii="Times New Roman" w:hAnsi="Times New Roman" w:cs="Times New Roman"/>
          <w:spacing w:val="-4"/>
        </w:rPr>
        <w:t xml:space="preserve"> </w:t>
      </w:r>
      <w:r w:rsidRPr="00D45D17">
        <w:rPr>
          <w:rFonts w:ascii="Times New Roman" w:hAnsi="Times New Roman" w:cs="Times New Roman"/>
        </w:rPr>
        <w:t>ICE</w:t>
      </w:r>
      <w:r w:rsidRPr="00D45D17">
        <w:rPr>
          <w:rFonts w:ascii="Times New Roman" w:hAnsi="Times New Roman" w:cs="Times New Roman"/>
          <w:spacing w:val="-5"/>
        </w:rPr>
        <w:t xml:space="preserve"> </w:t>
      </w:r>
      <w:r w:rsidRPr="00D45D17">
        <w:rPr>
          <w:rFonts w:ascii="Times New Roman" w:hAnsi="Times New Roman" w:cs="Times New Roman"/>
        </w:rPr>
        <w:t>recibe</w:t>
      </w:r>
      <w:r w:rsidRPr="00D45D17">
        <w:rPr>
          <w:rFonts w:ascii="Times New Roman" w:hAnsi="Times New Roman" w:cs="Times New Roman"/>
          <w:spacing w:val="-4"/>
        </w:rPr>
        <w:t xml:space="preserve"> </w:t>
      </w:r>
      <w:r w:rsidRPr="00D45D17">
        <w:rPr>
          <w:rFonts w:ascii="Times New Roman" w:hAnsi="Times New Roman" w:cs="Times New Roman"/>
        </w:rPr>
        <w:t>una</w:t>
      </w:r>
      <w:r w:rsidRPr="00D45D17">
        <w:rPr>
          <w:rFonts w:ascii="Times New Roman" w:hAnsi="Times New Roman" w:cs="Times New Roman"/>
          <w:spacing w:val="-4"/>
        </w:rPr>
        <w:t xml:space="preserve"> </w:t>
      </w:r>
      <w:r w:rsidRPr="00D45D17">
        <w:rPr>
          <w:rFonts w:ascii="Times New Roman" w:hAnsi="Times New Roman" w:cs="Times New Roman"/>
        </w:rPr>
        <w:t>notificación</w:t>
      </w:r>
      <w:r w:rsidRPr="00D45D17">
        <w:rPr>
          <w:rFonts w:ascii="Times New Roman" w:hAnsi="Times New Roman" w:cs="Times New Roman"/>
          <w:spacing w:val="-5"/>
        </w:rPr>
        <w:t xml:space="preserve"> </w:t>
      </w:r>
      <w:r w:rsidRPr="00D45D17">
        <w:rPr>
          <w:rFonts w:ascii="Times New Roman" w:hAnsi="Times New Roman" w:cs="Times New Roman"/>
        </w:rPr>
        <w:t>del</w:t>
      </w:r>
      <w:r w:rsidRPr="00D45D17">
        <w:rPr>
          <w:rFonts w:ascii="Times New Roman" w:hAnsi="Times New Roman" w:cs="Times New Roman"/>
          <w:spacing w:val="-4"/>
        </w:rPr>
        <w:t xml:space="preserve"> </w:t>
      </w:r>
      <w:r w:rsidRPr="00D45D17">
        <w:rPr>
          <w:rFonts w:ascii="Times New Roman" w:hAnsi="Times New Roman" w:cs="Times New Roman"/>
        </w:rPr>
        <w:t>Centro</w:t>
      </w:r>
      <w:r w:rsidRPr="00D45D17">
        <w:rPr>
          <w:rFonts w:ascii="Times New Roman" w:hAnsi="Times New Roman" w:cs="Times New Roman"/>
          <w:spacing w:val="-5"/>
        </w:rPr>
        <w:t xml:space="preserve"> </w:t>
      </w:r>
      <w:r w:rsidRPr="00D45D17">
        <w:rPr>
          <w:rFonts w:ascii="Times New Roman" w:hAnsi="Times New Roman" w:cs="Times New Roman"/>
        </w:rPr>
        <w:t>Internacional</w:t>
      </w:r>
      <w:r w:rsidRPr="00D45D17">
        <w:rPr>
          <w:rFonts w:ascii="Times New Roman" w:hAnsi="Times New Roman" w:cs="Times New Roman"/>
          <w:spacing w:val="-4"/>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Conciliación y</w:t>
      </w:r>
      <w:r w:rsidRPr="00D45D17">
        <w:rPr>
          <w:rFonts w:ascii="Times New Roman" w:hAnsi="Times New Roman" w:cs="Times New Roman"/>
          <w:spacing w:val="-14"/>
        </w:rPr>
        <w:t xml:space="preserve"> </w:t>
      </w:r>
      <w:r w:rsidRPr="00D45D17">
        <w:rPr>
          <w:rFonts w:ascii="Times New Roman" w:hAnsi="Times New Roman" w:cs="Times New Roman"/>
        </w:rPr>
        <w:t>Arbitraje</w:t>
      </w:r>
      <w:r w:rsidRPr="00D45D17">
        <w:rPr>
          <w:rFonts w:ascii="Times New Roman" w:hAnsi="Times New Roman" w:cs="Times New Roman"/>
          <w:spacing w:val="-14"/>
        </w:rPr>
        <w:t xml:space="preserve"> </w:t>
      </w:r>
      <w:r w:rsidRPr="00D45D17">
        <w:rPr>
          <w:rFonts w:ascii="Times New Roman" w:hAnsi="Times New Roman" w:cs="Times New Roman"/>
        </w:rPr>
        <w:t>de</w:t>
      </w:r>
      <w:r w:rsidRPr="00D45D17">
        <w:rPr>
          <w:rFonts w:ascii="Times New Roman" w:hAnsi="Times New Roman" w:cs="Times New Roman"/>
          <w:spacing w:val="-14"/>
        </w:rPr>
        <w:t xml:space="preserve"> </w:t>
      </w:r>
      <w:r w:rsidRPr="00D45D17">
        <w:rPr>
          <w:rFonts w:ascii="Times New Roman" w:hAnsi="Times New Roman" w:cs="Times New Roman"/>
        </w:rPr>
        <w:t>la</w:t>
      </w:r>
      <w:r w:rsidRPr="00D45D17">
        <w:rPr>
          <w:rFonts w:ascii="Times New Roman" w:hAnsi="Times New Roman" w:cs="Times New Roman"/>
          <w:spacing w:val="-13"/>
        </w:rPr>
        <w:t xml:space="preserve"> </w:t>
      </w:r>
      <w:r w:rsidRPr="00D45D17">
        <w:rPr>
          <w:rFonts w:ascii="Times New Roman" w:hAnsi="Times New Roman" w:cs="Times New Roman"/>
        </w:rPr>
        <w:t>Cámara</w:t>
      </w:r>
      <w:r w:rsidRPr="00D45D17">
        <w:rPr>
          <w:rFonts w:ascii="Times New Roman" w:hAnsi="Times New Roman" w:cs="Times New Roman"/>
          <w:spacing w:val="-14"/>
        </w:rPr>
        <w:t xml:space="preserve"> </w:t>
      </w:r>
      <w:r w:rsidRPr="00D45D17">
        <w:rPr>
          <w:rFonts w:ascii="Times New Roman" w:hAnsi="Times New Roman" w:cs="Times New Roman"/>
        </w:rPr>
        <w:t>Costarricense</w:t>
      </w:r>
      <w:r w:rsidRPr="00D45D17">
        <w:rPr>
          <w:rFonts w:ascii="Times New Roman" w:hAnsi="Times New Roman" w:cs="Times New Roman"/>
          <w:spacing w:val="-13"/>
        </w:rPr>
        <w:t xml:space="preserve"> </w:t>
      </w:r>
      <w:r w:rsidRPr="00D45D17">
        <w:rPr>
          <w:rFonts w:ascii="Times New Roman" w:hAnsi="Times New Roman" w:cs="Times New Roman"/>
        </w:rPr>
        <w:t>Norteamericana</w:t>
      </w:r>
      <w:r w:rsidRPr="00D45D17">
        <w:rPr>
          <w:rFonts w:ascii="Times New Roman" w:hAnsi="Times New Roman" w:cs="Times New Roman"/>
          <w:spacing w:val="-14"/>
        </w:rPr>
        <w:t xml:space="preserve"> </w:t>
      </w:r>
      <w:r w:rsidRPr="00D45D17">
        <w:rPr>
          <w:rFonts w:ascii="Times New Roman" w:hAnsi="Times New Roman" w:cs="Times New Roman"/>
        </w:rPr>
        <w:t>de</w:t>
      </w:r>
      <w:r w:rsidRPr="00D45D17">
        <w:rPr>
          <w:rFonts w:ascii="Times New Roman" w:hAnsi="Times New Roman" w:cs="Times New Roman"/>
          <w:spacing w:val="-13"/>
        </w:rPr>
        <w:t xml:space="preserve"> </w:t>
      </w:r>
      <w:r w:rsidRPr="00D45D17">
        <w:rPr>
          <w:rFonts w:ascii="Times New Roman" w:hAnsi="Times New Roman" w:cs="Times New Roman"/>
        </w:rPr>
        <w:t>Comercio</w:t>
      </w:r>
      <w:r w:rsidRPr="00D45D17">
        <w:rPr>
          <w:rFonts w:ascii="Times New Roman" w:hAnsi="Times New Roman" w:cs="Times New Roman"/>
          <w:spacing w:val="-14"/>
        </w:rPr>
        <w:t xml:space="preserve"> </w:t>
      </w:r>
      <w:r w:rsidRPr="00D45D17">
        <w:rPr>
          <w:rFonts w:ascii="Times New Roman" w:hAnsi="Times New Roman" w:cs="Times New Roman"/>
        </w:rPr>
        <w:t>(CICA),</w:t>
      </w:r>
      <w:r w:rsidRPr="00D45D17">
        <w:rPr>
          <w:rFonts w:ascii="Times New Roman" w:hAnsi="Times New Roman" w:cs="Times New Roman"/>
          <w:spacing w:val="-13"/>
        </w:rPr>
        <w:t xml:space="preserve"> </w:t>
      </w:r>
      <w:r w:rsidRPr="00D45D17">
        <w:rPr>
          <w:rFonts w:ascii="Times New Roman" w:hAnsi="Times New Roman" w:cs="Times New Roman"/>
        </w:rPr>
        <w:t>mediante</w:t>
      </w:r>
      <w:r w:rsidRPr="00D45D17">
        <w:rPr>
          <w:rFonts w:ascii="Times New Roman" w:hAnsi="Times New Roman" w:cs="Times New Roman"/>
          <w:spacing w:val="-14"/>
        </w:rPr>
        <w:t xml:space="preserve"> </w:t>
      </w:r>
      <w:r w:rsidRPr="00D45D17">
        <w:rPr>
          <w:rFonts w:ascii="Times New Roman" w:hAnsi="Times New Roman" w:cs="Times New Roman"/>
        </w:rPr>
        <w:t>la</w:t>
      </w:r>
      <w:r w:rsidRPr="00D45D17">
        <w:rPr>
          <w:rFonts w:ascii="Times New Roman" w:hAnsi="Times New Roman" w:cs="Times New Roman"/>
          <w:spacing w:val="-12"/>
        </w:rPr>
        <w:t xml:space="preserve"> </w:t>
      </w:r>
      <w:r w:rsidRPr="00D45D17">
        <w:rPr>
          <w:rFonts w:ascii="Times New Roman" w:hAnsi="Times New Roman" w:cs="Times New Roman"/>
        </w:rPr>
        <w:t>cual se comunica una nueva solicitud de arbitraje por parte de P.H. Chucás, S.A.</w:t>
      </w:r>
    </w:p>
    <w:p w14:paraId="3C48E197" w14:textId="77777777" w:rsidR="00CC74F4" w:rsidRDefault="00CC74F4" w:rsidP="00CC74F4">
      <w:pPr>
        <w:pStyle w:val="Textoindependiente"/>
        <w:spacing w:before="4"/>
        <w:rPr>
          <w:sz w:val="12"/>
        </w:rPr>
      </w:pPr>
    </w:p>
    <w:p w14:paraId="53033DB0" w14:textId="77777777" w:rsidR="00CC74F4" w:rsidRPr="00D45D17" w:rsidRDefault="00CC74F4" w:rsidP="00CC74F4">
      <w:pPr>
        <w:pStyle w:val="Textoindependiente"/>
        <w:spacing w:before="92"/>
        <w:ind w:left="807" w:right="105" w:hanging="706"/>
        <w:rPr>
          <w:rFonts w:ascii="Times New Roman" w:hAnsi="Times New Roman" w:cs="Times New Roman"/>
        </w:rPr>
      </w:pPr>
      <w:r w:rsidRPr="00D45D17">
        <w:rPr>
          <w:rFonts w:ascii="Times New Roman" w:hAnsi="Times New Roman" w:cs="Times New Roman"/>
        </w:rPr>
        <w:t>El 19 de mayo de 2021, P.H. Chucás, S.A. presentó formalmente la demanda arbitral. El ICE inicialmente contó con 20 días naturales para contestar la demanda. Sin embargo, el plazo original fue prorrogado hasta el 23 de junio, dada la complejidad y volumen de la demanda, así como la gran cantidad de pruebas a recabar en defensa del Grupo ICE, entre ellas prueba documental, pericial y testimonial, incluso traducciones oficiales. El 23 de junio de 2021, el Grupo ICE contestó</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demanda</w:t>
      </w:r>
      <w:r w:rsidRPr="00D45D17">
        <w:rPr>
          <w:rFonts w:ascii="Times New Roman" w:hAnsi="Times New Roman" w:cs="Times New Roman"/>
          <w:spacing w:val="-2"/>
        </w:rPr>
        <w:t xml:space="preserve"> </w:t>
      </w:r>
      <w:r w:rsidRPr="00D45D17">
        <w:rPr>
          <w:rFonts w:ascii="Times New Roman" w:hAnsi="Times New Roman" w:cs="Times New Roman"/>
        </w:rPr>
        <w:t>e</w:t>
      </w:r>
      <w:r w:rsidRPr="00D45D17">
        <w:rPr>
          <w:rFonts w:ascii="Times New Roman" w:hAnsi="Times New Roman" w:cs="Times New Roman"/>
          <w:spacing w:val="-2"/>
        </w:rPr>
        <w:t xml:space="preserve"> </w:t>
      </w:r>
      <w:r w:rsidRPr="00D45D17">
        <w:rPr>
          <w:rFonts w:ascii="Times New Roman" w:hAnsi="Times New Roman" w:cs="Times New Roman"/>
        </w:rPr>
        <w:t>interpuso</w:t>
      </w:r>
      <w:r w:rsidRPr="00D45D17">
        <w:rPr>
          <w:rFonts w:ascii="Times New Roman" w:hAnsi="Times New Roman" w:cs="Times New Roman"/>
          <w:spacing w:val="-2"/>
        </w:rPr>
        <w:t xml:space="preserve"> </w:t>
      </w:r>
      <w:r w:rsidRPr="00D45D17">
        <w:rPr>
          <w:rFonts w:ascii="Times New Roman" w:hAnsi="Times New Roman" w:cs="Times New Roman"/>
        </w:rPr>
        <w:t>una</w:t>
      </w:r>
      <w:r w:rsidRPr="00D45D17">
        <w:rPr>
          <w:rFonts w:ascii="Times New Roman" w:hAnsi="Times New Roman" w:cs="Times New Roman"/>
          <w:spacing w:val="-2"/>
        </w:rPr>
        <w:t xml:space="preserve"> </w:t>
      </w:r>
      <w:r w:rsidRPr="00D45D17">
        <w:rPr>
          <w:rFonts w:ascii="Times New Roman" w:hAnsi="Times New Roman" w:cs="Times New Roman"/>
        </w:rPr>
        <w:t>excepción</w:t>
      </w:r>
      <w:r w:rsidRPr="00D45D17">
        <w:rPr>
          <w:rFonts w:ascii="Times New Roman" w:hAnsi="Times New Roman" w:cs="Times New Roman"/>
          <w:spacing w:val="-3"/>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falta de</w:t>
      </w:r>
      <w:r w:rsidRPr="00D45D17">
        <w:rPr>
          <w:rFonts w:ascii="Times New Roman" w:hAnsi="Times New Roman" w:cs="Times New Roman"/>
          <w:spacing w:val="-2"/>
        </w:rPr>
        <w:t xml:space="preserve"> </w:t>
      </w:r>
      <w:r w:rsidRPr="00D45D17">
        <w:rPr>
          <w:rFonts w:ascii="Times New Roman" w:hAnsi="Times New Roman" w:cs="Times New Roman"/>
        </w:rPr>
        <w:t>competencia. En</w:t>
      </w:r>
      <w:r w:rsidRPr="00D45D17">
        <w:rPr>
          <w:rFonts w:ascii="Times New Roman" w:hAnsi="Times New Roman" w:cs="Times New Roman"/>
          <w:spacing w:val="-3"/>
        </w:rPr>
        <w:t xml:space="preserve"> </w:t>
      </w:r>
      <w:r w:rsidRPr="00D45D17">
        <w:rPr>
          <w:rFonts w:ascii="Times New Roman" w:hAnsi="Times New Roman" w:cs="Times New Roman"/>
        </w:rPr>
        <w:t>razón de esto y de la posibilidad de acudir a la Sala Primera para que ésta resuelva si el proceso continúa en sede arbitral o si se inicia en sede judicial, no es posible estimar una fecha aproximada de finalización del caso.</w:t>
      </w:r>
    </w:p>
    <w:p w14:paraId="3E626EFE" w14:textId="77777777" w:rsidR="00CC74F4" w:rsidRPr="00D45D17" w:rsidRDefault="00CC74F4" w:rsidP="00CC74F4">
      <w:pPr>
        <w:pStyle w:val="Textoindependiente"/>
        <w:spacing w:before="2"/>
        <w:rPr>
          <w:rFonts w:ascii="Times New Roman" w:hAnsi="Times New Roman" w:cs="Times New Roman"/>
        </w:rPr>
      </w:pPr>
    </w:p>
    <w:p w14:paraId="6148C8E2" w14:textId="77777777" w:rsidR="00CC74F4" w:rsidRPr="00D45D17" w:rsidRDefault="00CC74F4" w:rsidP="00CC74F4">
      <w:pPr>
        <w:pStyle w:val="Textoindependiente"/>
        <w:spacing w:before="1"/>
        <w:ind w:left="807" w:right="104" w:hanging="706"/>
        <w:rPr>
          <w:rFonts w:ascii="Times New Roman" w:hAnsi="Times New Roman" w:cs="Times New Roman"/>
        </w:rPr>
      </w:pP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acuerdo</w:t>
      </w:r>
      <w:r w:rsidRPr="00D45D17">
        <w:rPr>
          <w:rFonts w:ascii="Times New Roman" w:hAnsi="Times New Roman" w:cs="Times New Roman"/>
          <w:spacing w:val="-7"/>
        </w:rPr>
        <w:t xml:space="preserve"> </w:t>
      </w:r>
      <w:r w:rsidRPr="00D45D17">
        <w:rPr>
          <w:rFonts w:ascii="Times New Roman" w:hAnsi="Times New Roman" w:cs="Times New Roman"/>
        </w:rPr>
        <w:t>con</w:t>
      </w:r>
      <w:r w:rsidRPr="00D45D17">
        <w:rPr>
          <w:rFonts w:ascii="Times New Roman" w:hAnsi="Times New Roman" w:cs="Times New Roman"/>
          <w:spacing w:val="-10"/>
        </w:rPr>
        <w:t xml:space="preserve"> </w:t>
      </w:r>
      <w:r w:rsidRPr="00D45D17">
        <w:rPr>
          <w:rFonts w:ascii="Times New Roman" w:hAnsi="Times New Roman" w:cs="Times New Roman"/>
        </w:rPr>
        <w:t>lo</w:t>
      </w:r>
      <w:r w:rsidRPr="00D45D17">
        <w:rPr>
          <w:rFonts w:ascii="Times New Roman" w:hAnsi="Times New Roman" w:cs="Times New Roman"/>
          <w:spacing w:val="-10"/>
        </w:rPr>
        <w:t xml:space="preserve"> </w:t>
      </w:r>
      <w:r w:rsidRPr="00D45D17">
        <w:rPr>
          <w:rFonts w:ascii="Times New Roman" w:hAnsi="Times New Roman" w:cs="Times New Roman"/>
        </w:rPr>
        <w:t>anterior,</w:t>
      </w:r>
      <w:r w:rsidRPr="00D45D17">
        <w:rPr>
          <w:rFonts w:ascii="Times New Roman" w:hAnsi="Times New Roman" w:cs="Times New Roman"/>
          <w:spacing w:val="-12"/>
        </w:rPr>
        <w:t xml:space="preserve"> </w:t>
      </w:r>
      <w:r w:rsidRPr="00D45D17">
        <w:rPr>
          <w:rFonts w:ascii="Times New Roman" w:hAnsi="Times New Roman" w:cs="Times New Roman"/>
        </w:rPr>
        <w:t>al</w:t>
      </w:r>
      <w:r w:rsidRPr="00D45D17">
        <w:rPr>
          <w:rFonts w:ascii="Times New Roman" w:hAnsi="Times New Roman" w:cs="Times New Roman"/>
          <w:spacing w:val="-6"/>
        </w:rPr>
        <w:t xml:space="preserve"> </w:t>
      </w:r>
      <w:r w:rsidRPr="00D45D17">
        <w:rPr>
          <w:rFonts w:ascii="Times New Roman" w:hAnsi="Times New Roman" w:cs="Times New Roman"/>
        </w:rPr>
        <w:t>conocerse</w:t>
      </w:r>
      <w:r w:rsidRPr="00D45D17">
        <w:rPr>
          <w:rFonts w:ascii="Times New Roman" w:hAnsi="Times New Roman" w:cs="Times New Roman"/>
          <w:spacing w:val="-9"/>
        </w:rPr>
        <w:t xml:space="preserve"> </w:t>
      </w:r>
      <w:r w:rsidRPr="00D45D17">
        <w:rPr>
          <w:rFonts w:ascii="Times New Roman" w:hAnsi="Times New Roman" w:cs="Times New Roman"/>
        </w:rPr>
        <w:t>en</w:t>
      </w:r>
      <w:r w:rsidRPr="00D45D17">
        <w:rPr>
          <w:rFonts w:ascii="Times New Roman" w:hAnsi="Times New Roman" w:cs="Times New Roman"/>
          <w:spacing w:val="-9"/>
        </w:rPr>
        <w:t xml:space="preserve"> </w:t>
      </w:r>
      <w:r w:rsidRPr="00D45D17">
        <w:rPr>
          <w:rFonts w:ascii="Times New Roman" w:hAnsi="Times New Roman" w:cs="Times New Roman"/>
        </w:rPr>
        <w:t>mayo</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2021</w:t>
      </w:r>
      <w:r w:rsidRPr="00D45D17">
        <w:rPr>
          <w:rFonts w:ascii="Times New Roman" w:hAnsi="Times New Roman" w:cs="Times New Roman"/>
          <w:spacing w:val="-7"/>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demanda</w:t>
      </w:r>
      <w:r w:rsidRPr="00D45D17">
        <w:rPr>
          <w:rFonts w:ascii="Times New Roman" w:hAnsi="Times New Roman" w:cs="Times New Roman"/>
          <w:spacing w:val="-9"/>
        </w:rPr>
        <w:t xml:space="preserve"> </w:t>
      </w:r>
      <w:r w:rsidRPr="00D45D17">
        <w:rPr>
          <w:rFonts w:ascii="Times New Roman" w:hAnsi="Times New Roman" w:cs="Times New Roman"/>
        </w:rPr>
        <w:t>formal</w:t>
      </w:r>
      <w:r w:rsidRPr="00D45D17">
        <w:rPr>
          <w:rFonts w:ascii="Times New Roman" w:hAnsi="Times New Roman" w:cs="Times New Roman"/>
          <w:spacing w:val="-6"/>
        </w:rPr>
        <w:t xml:space="preserve"> </w:t>
      </w:r>
      <w:r w:rsidRPr="00D45D17">
        <w:rPr>
          <w:rFonts w:ascii="Times New Roman" w:hAnsi="Times New Roman" w:cs="Times New Roman"/>
        </w:rPr>
        <w:t>en</w:t>
      </w:r>
      <w:r w:rsidRPr="00D45D17">
        <w:rPr>
          <w:rFonts w:ascii="Times New Roman" w:hAnsi="Times New Roman" w:cs="Times New Roman"/>
          <w:spacing w:val="-7"/>
        </w:rPr>
        <w:t xml:space="preserve"> </w:t>
      </w:r>
      <w:r w:rsidRPr="00D45D17">
        <w:rPr>
          <w:rFonts w:ascii="Times New Roman" w:hAnsi="Times New Roman" w:cs="Times New Roman"/>
        </w:rPr>
        <w:t>contra</w:t>
      </w:r>
      <w:r w:rsidRPr="00D45D17">
        <w:rPr>
          <w:rFonts w:ascii="Times New Roman" w:hAnsi="Times New Roman" w:cs="Times New Roman"/>
          <w:spacing w:val="-9"/>
        </w:rPr>
        <w:t xml:space="preserve"> </w:t>
      </w:r>
      <w:r w:rsidRPr="00D45D17">
        <w:rPr>
          <w:rFonts w:ascii="Times New Roman" w:hAnsi="Times New Roman" w:cs="Times New Roman"/>
        </w:rPr>
        <w:t>del</w:t>
      </w:r>
      <w:r w:rsidRPr="00D45D17">
        <w:rPr>
          <w:rFonts w:ascii="Times New Roman" w:hAnsi="Times New Roman" w:cs="Times New Roman"/>
          <w:spacing w:val="-6"/>
        </w:rPr>
        <w:t xml:space="preserve"> </w:t>
      </w:r>
      <w:r w:rsidRPr="00D45D17">
        <w:rPr>
          <w:rFonts w:ascii="Times New Roman" w:hAnsi="Times New Roman" w:cs="Times New Roman"/>
        </w:rPr>
        <w:t>Grupo</w:t>
      </w:r>
      <w:r w:rsidRPr="00D45D17">
        <w:rPr>
          <w:rFonts w:ascii="Times New Roman" w:hAnsi="Times New Roman" w:cs="Times New Roman"/>
          <w:spacing w:val="-9"/>
        </w:rPr>
        <w:t xml:space="preserve"> </w:t>
      </w:r>
      <w:r w:rsidRPr="00D45D17">
        <w:rPr>
          <w:rFonts w:ascii="Times New Roman" w:hAnsi="Times New Roman" w:cs="Times New Roman"/>
        </w:rPr>
        <w:t>ICE planteada por P.H. Chucás, S.A., es a partir de este período que es procedente para el Grupo ICE la incorporación</w:t>
      </w:r>
      <w:r w:rsidRPr="00D45D17">
        <w:rPr>
          <w:rFonts w:ascii="Times New Roman" w:hAnsi="Times New Roman" w:cs="Times New Roman"/>
          <w:spacing w:val="-3"/>
        </w:rPr>
        <w:t xml:space="preserve"> </w:t>
      </w:r>
      <w:r w:rsidRPr="00D45D17">
        <w:rPr>
          <w:rFonts w:ascii="Times New Roman" w:hAnsi="Times New Roman" w:cs="Times New Roman"/>
        </w:rPr>
        <w:t>y</w:t>
      </w:r>
      <w:r w:rsidRPr="00D45D17">
        <w:rPr>
          <w:rFonts w:ascii="Times New Roman" w:hAnsi="Times New Roman" w:cs="Times New Roman"/>
          <w:spacing w:val="-2"/>
        </w:rPr>
        <w:t xml:space="preserve"> </w:t>
      </w:r>
      <w:r w:rsidRPr="00D45D17">
        <w:rPr>
          <w:rFonts w:ascii="Times New Roman" w:hAnsi="Times New Roman" w:cs="Times New Roman"/>
        </w:rPr>
        <w:t>revelación de una cuantía</w:t>
      </w:r>
      <w:r w:rsidRPr="00D45D17">
        <w:rPr>
          <w:rFonts w:ascii="Times New Roman" w:hAnsi="Times New Roman" w:cs="Times New Roman"/>
          <w:spacing w:val="-2"/>
        </w:rPr>
        <w:t xml:space="preserve"> </w:t>
      </w:r>
      <w:r w:rsidRPr="00D45D17">
        <w:rPr>
          <w:rFonts w:ascii="Times New Roman" w:hAnsi="Times New Roman" w:cs="Times New Roman"/>
        </w:rPr>
        <w:t>estimada de</w:t>
      </w:r>
      <w:r w:rsidRPr="00D45D17">
        <w:rPr>
          <w:rFonts w:ascii="Times New Roman" w:hAnsi="Times New Roman" w:cs="Times New Roman"/>
          <w:spacing w:val="-2"/>
        </w:rPr>
        <w:t xml:space="preserve"> </w:t>
      </w:r>
      <w:r w:rsidRPr="00D45D17">
        <w:rPr>
          <w:rFonts w:ascii="Times New Roman" w:hAnsi="Times New Roman" w:cs="Times New Roman"/>
        </w:rPr>
        <w:t>esa demanda</w:t>
      </w:r>
      <w:r w:rsidRPr="00D45D17">
        <w:rPr>
          <w:rFonts w:ascii="Times New Roman" w:hAnsi="Times New Roman" w:cs="Times New Roman"/>
          <w:spacing w:val="-2"/>
        </w:rPr>
        <w:t xml:space="preserve"> </w:t>
      </w:r>
      <w:r w:rsidRPr="00D45D17">
        <w:rPr>
          <w:rFonts w:ascii="Times New Roman" w:hAnsi="Times New Roman" w:cs="Times New Roman"/>
        </w:rPr>
        <w:t>la cual</w:t>
      </w:r>
      <w:r w:rsidRPr="00D45D17">
        <w:rPr>
          <w:rFonts w:ascii="Times New Roman" w:hAnsi="Times New Roman" w:cs="Times New Roman"/>
          <w:spacing w:val="-3"/>
        </w:rPr>
        <w:t xml:space="preserve"> </w:t>
      </w:r>
      <w:r w:rsidRPr="00D45D17">
        <w:rPr>
          <w:rFonts w:ascii="Times New Roman" w:hAnsi="Times New Roman" w:cs="Times New Roman"/>
        </w:rPr>
        <w:t>asciende</w:t>
      </w:r>
      <w:r w:rsidRPr="00D45D17">
        <w:rPr>
          <w:rFonts w:ascii="Times New Roman" w:hAnsi="Times New Roman" w:cs="Times New Roman"/>
          <w:spacing w:val="-2"/>
        </w:rPr>
        <w:t xml:space="preserve"> </w:t>
      </w:r>
      <w:r w:rsidRPr="00D45D17">
        <w:rPr>
          <w:rFonts w:ascii="Times New Roman" w:hAnsi="Times New Roman" w:cs="Times New Roman"/>
        </w:rPr>
        <w:t>a un</w:t>
      </w:r>
      <w:r w:rsidRPr="00D45D17">
        <w:rPr>
          <w:rFonts w:ascii="Times New Roman" w:hAnsi="Times New Roman" w:cs="Times New Roman"/>
          <w:spacing w:val="-10"/>
        </w:rPr>
        <w:t xml:space="preserve"> </w:t>
      </w:r>
      <w:r w:rsidRPr="00D45D17">
        <w:rPr>
          <w:rFonts w:ascii="Times New Roman" w:hAnsi="Times New Roman" w:cs="Times New Roman"/>
        </w:rPr>
        <w:t>monto</w:t>
      </w:r>
      <w:r w:rsidRPr="00D45D17">
        <w:rPr>
          <w:rFonts w:ascii="Times New Roman" w:hAnsi="Times New Roman" w:cs="Times New Roman"/>
          <w:spacing w:val="-11"/>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US$362</w:t>
      </w:r>
      <w:r w:rsidRPr="00D45D17">
        <w:rPr>
          <w:rFonts w:ascii="Times New Roman" w:hAnsi="Times New Roman" w:cs="Times New Roman"/>
          <w:spacing w:val="-10"/>
        </w:rPr>
        <w:t xml:space="preserve"> </w:t>
      </w:r>
      <w:r w:rsidRPr="00D45D17">
        <w:rPr>
          <w:rFonts w:ascii="Times New Roman" w:hAnsi="Times New Roman" w:cs="Times New Roman"/>
        </w:rPr>
        <w:t>(millones</w:t>
      </w:r>
      <w:r w:rsidRPr="00D45D17">
        <w:rPr>
          <w:rFonts w:ascii="Times New Roman" w:hAnsi="Times New Roman" w:cs="Times New Roman"/>
          <w:spacing w:val="-10"/>
        </w:rPr>
        <w:t xml:space="preserve"> </w:t>
      </w:r>
      <w:r w:rsidRPr="00D45D17">
        <w:rPr>
          <w:rFonts w:ascii="Times New Roman" w:hAnsi="Times New Roman" w:cs="Times New Roman"/>
        </w:rPr>
        <w:t>de</w:t>
      </w:r>
      <w:r w:rsidRPr="00D45D17">
        <w:rPr>
          <w:rFonts w:ascii="Times New Roman" w:hAnsi="Times New Roman" w:cs="Times New Roman"/>
          <w:spacing w:val="-10"/>
        </w:rPr>
        <w:t xml:space="preserve"> </w:t>
      </w:r>
      <w:r w:rsidRPr="00D45D17">
        <w:rPr>
          <w:rFonts w:ascii="Times New Roman" w:hAnsi="Times New Roman" w:cs="Times New Roman"/>
        </w:rPr>
        <w:t>dólares)</w:t>
      </w:r>
      <w:r w:rsidRPr="00D45D17">
        <w:rPr>
          <w:rFonts w:ascii="Times New Roman" w:hAnsi="Times New Roman" w:cs="Times New Roman"/>
          <w:spacing w:val="-8"/>
        </w:rPr>
        <w:t xml:space="preserve"> </w:t>
      </w:r>
      <w:r w:rsidRPr="00D45D17">
        <w:rPr>
          <w:rFonts w:ascii="Times New Roman" w:hAnsi="Times New Roman" w:cs="Times New Roman"/>
        </w:rPr>
        <w:t>(equivalentes</w:t>
      </w:r>
      <w:r w:rsidRPr="00D45D17">
        <w:rPr>
          <w:rFonts w:ascii="Times New Roman" w:hAnsi="Times New Roman" w:cs="Times New Roman"/>
          <w:spacing w:val="-10"/>
        </w:rPr>
        <w:t xml:space="preserve"> </w:t>
      </w:r>
      <w:r w:rsidRPr="00D45D17">
        <w:rPr>
          <w:rFonts w:ascii="Times New Roman" w:hAnsi="Times New Roman" w:cs="Times New Roman"/>
        </w:rPr>
        <w:t>a</w:t>
      </w:r>
      <w:r w:rsidRPr="00D45D17">
        <w:rPr>
          <w:rFonts w:ascii="Times New Roman" w:hAnsi="Times New Roman" w:cs="Times New Roman"/>
          <w:spacing w:val="-10"/>
        </w:rPr>
        <w:t xml:space="preserve"> </w:t>
      </w:r>
      <w:r w:rsidRPr="00D45D17">
        <w:rPr>
          <w:rFonts w:ascii="Times New Roman" w:hAnsi="Times New Roman" w:cs="Times New Roman"/>
        </w:rPr>
        <w:t>¢216.241),</w:t>
      </w:r>
      <w:r w:rsidRPr="00D45D17">
        <w:rPr>
          <w:rFonts w:ascii="Times New Roman" w:hAnsi="Times New Roman" w:cs="Times New Roman"/>
          <w:spacing w:val="-12"/>
        </w:rPr>
        <w:t xml:space="preserve"> </w:t>
      </w:r>
      <w:r w:rsidRPr="00D45D17">
        <w:rPr>
          <w:rFonts w:ascii="Times New Roman" w:hAnsi="Times New Roman" w:cs="Times New Roman"/>
        </w:rPr>
        <w:t>dado</w:t>
      </w:r>
      <w:r w:rsidRPr="00D45D17">
        <w:rPr>
          <w:rFonts w:ascii="Times New Roman" w:hAnsi="Times New Roman" w:cs="Times New Roman"/>
          <w:spacing w:val="-10"/>
        </w:rPr>
        <w:t xml:space="preserve"> </w:t>
      </w:r>
      <w:r w:rsidRPr="00D45D17">
        <w:rPr>
          <w:rFonts w:ascii="Times New Roman" w:hAnsi="Times New Roman" w:cs="Times New Roman"/>
        </w:rPr>
        <w:t>que</w:t>
      </w:r>
      <w:r w:rsidRPr="00D45D17">
        <w:rPr>
          <w:rFonts w:ascii="Times New Roman" w:hAnsi="Times New Roman" w:cs="Times New Roman"/>
          <w:spacing w:val="-10"/>
        </w:rPr>
        <w:t xml:space="preserve"> </w:t>
      </w:r>
      <w:r w:rsidRPr="00D45D17">
        <w:rPr>
          <w:rFonts w:ascii="Times New Roman" w:hAnsi="Times New Roman" w:cs="Times New Roman"/>
        </w:rPr>
        <w:t>anterior</w:t>
      </w:r>
      <w:r w:rsidRPr="00D45D17">
        <w:rPr>
          <w:rFonts w:ascii="Times New Roman" w:hAnsi="Times New Roman" w:cs="Times New Roman"/>
          <w:spacing w:val="-10"/>
        </w:rPr>
        <w:t xml:space="preserve"> </w:t>
      </w:r>
      <w:r w:rsidRPr="00D45D17">
        <w:rPr>
          <w:rFonts w:ascii="Times New Roman" w:hAnsi="Times New Roman" w:cs="Times New Roman"/>
        </w:rPr>
        <w:t>a</w:t>
      </w:r>
      <w:r w:rsidRPr="00D45D17">
        <w:rPr>
          <w:rFonts w:ascii="Times New Roman" w:hAnsi="Times New Roman" w:cs="Times New Roman"/>
          <w:spacing w:val="-12"/>
        </w:rPr>
        <w:t xml:space="preserve"> </w:t>
      </w:r>
      <w:r w:rsidRPr="00D45D17">
        <w:rPr>
          <w:rFonts w:ascii="Times New Roman" w:hAnsi="Times New Roman" w:cs="Times New Roman"/>
        </w:rPr>
        <w:t>esta fecha lo único que existía era una solicitud de arbitraje, la cual estaba siendo impugnada por parte del Grupo ICE, a nivel arbitral y judicial.</w:t>
      </w:r>
    </w:p>
    <w:p w14:paraId="404F724C" w14:textId="77777777" w:rsidR="00CC74F4" w:rsidRDefault="00CC74F4" w:rsidP="00CC74F4">
      <w:pPr>
        <w:pStyle w:val="Textoindependiente"/>
        <w:spacing w:before="9"/>
        <w:rPr>
          <w:sz w:val="21"/>
        </w:rPr>
      </w:pPr>
    </w:p>
    <w:p w14:paraId="42E0B28A" w14:textId="77777777" w:rsidR="00CC74F4" w:rsidRPr="00D45D17" w:rsidRDefault="00CC74F4" w:rsidP="00CC74F4">
      <w:pPr>
        <w:pStyle w:val="Textoindependiente"/>
        <w:ind w:left="807" w:right="104" w:hanging="706"/>
        <w:rPr>
          <w:rFonts w:ascii="Times New Roman" w:hAnsi="Times New Roman" w:cs="Times New Roman"/>
        </w:rPr>
      </w:pPr>
      <w:r w:rsidRPr="00D45D17">
        <w:rPr>
          <w:rFonts w:ascii="Times New Roman" w:hAnsi="Times New Roman" w:cs="Times New Roman"/>
        </w:rPr>
        <w:t>Es criterio de</w:t>
      </w:r>
      <w:r w:rsidRPr="00D45D17">
        <w:rPr>
          <w:rFonts w:ascii="Times New Roman" w:hAnsi="Times New Roman" w:cs="Times New Roman"/>
          <w:spacing w:val="-2"/>
        </w:rPr>
        <w:t xml:space="preserve"> </w:t>
      </w:r>
      <w:r w:rsidRPr="00D45D17">
        <w:rPr>
          <w:rFonts w:ascii="Times New Roman" w:hAnsi="Times New Roman" w:cs="Times New Roman"/>
        </w:rPr>
        <w:t>la Administración del Grupo ICE y de</w:t>
      </w:r>
      <w:r w:rsidRPr="00D45D17">
        <w:rPr>
          <w:rFonts w:ascii="Times New Roman" w:hAnsi="Times New Roman" w:cs="Times New Roman"/>
          <w:spacing w:val="-2"/>
        </w:rPr>
        <w:t xml:space="preserve"> </w:t>
      </w:r>
      <w:r w:rsidRPr="00D45D17">
        <w:rPr>
          <w:rFonts w:ascii="Times New Roman" w:hAnsi="Times New Roman" w:cs="Times New Roman"/>
        </w:rPr>
        <w:t>sus asesores</w:t>
      </w:r>
      <w:r w:rsidRPr="00D45D17">
        <w:rPr>
          <w:rFonts w:ascii="Times New Roman" w:hAnsi="Times New Roman" w:cs="Times New Roman"/>
          <w:spacing w:val="-2"/>
        </w:rPr>
        <w:t xml:space="preserve"> </w:t>
      </w:r>
      <w:r w:rsidRPr="00D45D17">
        <w:rPr>
          <w:rFonts w:ascii="Times New Roman" w:hAnsi="Times New Roman" w:cs="Times New Roman"/>
        </w:rPr>
        <w:t>legales, que si</w:t>
      </w:r>
      <w:r w:rsidRPr="00D45D17">
        <w:rPr>
          <w:rFonts w:ascii="Times New Roman" w:hAnsi="Times New Roman" w:cs="Times New Roman"/>
          <w:spacing w:val="-1"/>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Sala Primera de la Corte</w:t>
      </w:r>
      <w:r w:rsidRPr="00D45D17">
        <w:rPr>
          <w:rFonts w:ascii="Times New Roman" w:hAnsi="Times New Roman" w:cs="Times New Roman"/>
          <w:spacing w:val="-2"/>
        </w:rPr>
        <w:t xml:space="preserve"> </w:t>
      </w:r>
      <w:r w:rsidRPr="00D45D17">
        <w:rPr>
          <w:rFonts w:ascii="Times New Roman" w:hAnsi="Times New Roman" w:cs="Times New Roman"/>
        </w:rPr>
        <w:t>Suprema</w:t>
      </w:r>
      <w:r w:rsidRPr="00D45D17">
        <w:rPr>
          <w:rFonts w:ascii="Times New Roman" w:hAnsi="Times New Roman" w:cs="Times New Roman"/>
          <w:spacing w:val="-2"/>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Justicia</w:t>
      </w:r>
      <w:r w:rsidRPr="00D45D17">
        <w:rPr>
          <w:rFonts w:ascii="Times New Roman" w:hAnsi="Times New Roman" w:cs="Times New Roman"/>
          <w:spacing w:val="-2"/>
        </w:rPr>
        <w:t xml:space="preserve"> </w:t>
      </w:r>
      <w:r w:rsidRPr="00D45D17">
        <w:rPr>
          <w:rFonts w:ascii="Times New Roman" w:hAnsi="Times New Roman" w:cs="Times New Roman"/>
        </w:rPr>
        <w:t>acoge</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excepción de</w:t>
      </w:r>
      <w:r w:rsidRPr="00D45D17">
        <w:rPr>
          <w:rFonts w:ascii="Times New Roman" w:hAnsi="Times New Roman" w:cs="Times New Roman"/>
          <w:spacing w:val="-2"/>
        </w:rPr>
        <w:t xml:space="preserve"> </w:t>
      </w:r>
      <w:r w:rsidRPr="00D45D17">
        <w:rPr>
          <w:rFonts w:ascii="Times New Roman" w:hAnsi="Times New Roman" w:cs="Times New Roman"/>
        </w:rPr>
        <w:t>falta</w:t>
      </w:r>
      <w:r w:rsidRPr="00D45D17">
        <w:rPr>
          <w:rFonts w:ascii="Times New Roman" w:hAnsi="Times New Roman" w:cs="Times New Roman"/>
          <w:spacing w:val="-4"/>
        </w:rPr>
        <w:t xml:space="preserve"> </w:t>
      </w:r>
      <w:r w:rsidRPr="00D45D17">
        <w:rPr>
          <w:rFonts w:ascii="Times New Roman" w:hAnsi="Times New Roman" w:cs="Times New Roman"/>
        </w:rPr>
        <w:t>de competencia</w:t>
      </w:r>
      <w:r w:rsidRPr="00D45D17">
        <w:rPr>
          <w:rFonts w:ascii="Times New Roman" w:hAnsi="Times New Roman" w:cs="Times New Roman"/>
          <w:spacing w:val="-2"/>
        </w:rPr>
        <w:t xml:space="preserve"> </w:t>
      </w:r>
      <w:r w:rsidRPr="00D45D17">
        <w:rPr>
          <w:rFonts w:ascii="Times New Roman" w:hAnsi="Times New Roman" w:cs="Times New Roman"/>
        </w:rPr>
        <w:t>y el</w:t>
      </w:r>
      <w:r w:rsidRPr="00D45D17">
        <w:rPr>
          <w:rFonts w:ascii="Times New Roman" w:hAnsi="Times New Roman" w:cs="Times New Roman"/>
          <w:spacing w:val="-1"/>
        </w:rPr>
        <w:t xml:space="preserve"> </w:t>
      </w:r>
      <w:r w:rsidRPr="00D45D17">
        <w:rPr>
          <w:rFonts w:ascii="Times New Roman" w:hAnsi="Times New Roman" w:cs="Times New Roman"/>
        </w:rPr>
        <w:t>presente asunto se discute</w:t>
      </w:r>
      <w:r w:rsidRPr="00D45D17">
        <w:rPr>
          <w:rFonts w:ascii="Times New Roman" w:hAnsi="Times New Roman" w:cs="Times New Roman"/>
          <w:spacing w:val="-3"/>
        </w:rPr>
        <w:t xml:space="preserve"> </w:t>
      </w:r>
      <w:r w:rsidRPr="00D45D17">
        <w:rPr>
          <w:rFonts w:ascii="Times New Roman" w:hAnsi="Times New Roman" w:cs="Times New Roman"/>
        </w:rPr>
        <w:t>en</w:t>
      </w:r>
      <w:r w:rsidRPr="00D45D17">
        <w:rPr>
          <w:rFonts w:ascii="Times New Roman" w:hAnsi="Times New Roman" w:cs="Times New Roman"/>
          <w:spacing w:val="-3"/>
        </w:rPr>
        <w:t xml:space="preserve"> </w:t>
      </w:r>
      <w:r w:rsidRPr="00D45D17">
        <w:rPr>
          <w:rFonts w:ascii="Times New Roman" w:hAnsi="Times New Roman" w:cs="Times New Roman"/>
        </w:rPr>
        <w:t>el</w:t>
      </w:r>
      <w:r w:rsidRPr="00D45D17">
        <w:rPr>
          <w:rFonts w:ascii="Times New Roman" w:hAnsi="Times New Roman" w:cs="Times New Roman"/>
          <w:spacing w:val="-2"/>
        </w:rPr>
        <w:t xml:space="preserve"> </w:t>
      </w:r>
      <w:r w:rsidRPr="00D45D17">
        <w:rPr>
          <w:rFonts w:ascii="Times New Roman" w:hAnsi="Times New Roman" w:cs="Times New Roman"/>
        </w:rPr>
        <w:t>Tribunal</w:t>
      </w:r>
      <w:r w:rsidRPr="00D45D17">
        <w:rPr>
          <w:rFonts w:ascii="Times New Roman" w:hAnsi="Times New Roman" w:cs="Times New Roman"/>
          <w:spacing w:val="-2"/>
        </w:rPr>
        <w:t xml:space="preserve"> </w:t>
      </w:r>
      <w:r w:rsidRPr="00D45D17">
        <w:rPr>
          <w:rFonts w:ascii="Times New Roman" w:hAnsi="Times New Roman" w:cs="Times New Roman"/>
        </w:rPr>
        <w:t>Contencioso</w:t>
      </w:r>
      <w:r w:rsidRPr="00D45D17">
        <w:rPr>
          <w:rFonts w:ascii="Times New Roman" w:hAnsi="Times New Roman" w:cs="Times New Roman"/>
          <w:spacing w:val="-3"/>
        </w:rPr>
        <w:t xml:space="preserve"> </w:t>
      </w:r>
      <w:r w:rsidRPr="00D45D17">
        <w:rPr>
          <w:rFonts w:ascii="Times New Roman" w:hAnsi="Times New Roman" w:cs="Times New Roman"/>
        </w:rPr>
        <w:t>Administrativo, es</w:t>
      </w:r>
      <w:r w:rsidRPr="00D45D17">
        <w:rPr>
          <w:rFonts w:ascii="Times New Roman" w:hAnsi="Times New Roman" w:cs="Times New Roman"/>
          <w:spacing w:val="-5"/>
        </w:rPr>
        <w:t xml:space="preserve"> </w:t>
      </w:r>
      <w:r w:rsidRPr="00D45D17">
        <w:rPr>
          <w:rFonts w:ascii="Times New Roman" w:hAnsi="Times New Roman" w:cs="Times New Roman"/>
        </w:rPr>
        <w:t>probable</w:t>
      </w:r>
      <w:r w:rsidRPr="00D45D17">
        <w:rPr>
          <w:rFonts w:ascii="Times New Roman" w:hAnsi="Times New Roman" w:cs="Times New Roman"/>
          <w:spacing w:val="-3"/>
        </w:rPr>
        <w:t xml:space="preserve"> </w:t>
      </w:r>
      <w:r w:rsidRPr="00D45D17">
        <w:rPr>
          <w:rFonts w:ascii="Times New Roman" w:hAnsi="Times New Roman" w:cs="Times New Roman"/>
        </w:rPr>
        <w:t>que</w:t>
      </w:r>
      <w:r w:rsidRPr="00D45D17">
        <w:rPr>
          <w:rFonts w:ascii="Times New Roman" w:hAnsi="Times New Roman" w:cs="Times New Roman"/>
          <w:spacing w:val="-3"/>
        </w:rPr>
        <w:t xml:space="preserve"> </w:t>
      </w:r>
      <w:r w:rsidRPr="00D45D17">
        <w:rPr>
          <w:rFonts w:ascii="Times New Roman" w:hAnsi="Times New Roman" w:cs="Times New Roman"/>
        </w:rPr>
        <w:t>el</w:t>
      </w:r>
      <w:r w:rsidRPr="00D45D17">
        <w:rPr>
          <w:rFonts w:ascii="Times New Roman" w:hAnsi="Times New Roman" w:cs="Times New Roman"/>
          <w:spacing w:val="-1"/>
        </w:rPr>
        <w:t xml:space="preserve"> </w:t>
      </w:r>
      <w:r w:rsidRPr="00D45D17">
        <w:rPr>
          <w:rFonts w:ascii="Times New Roman" w:hAnsi="Times New Roman" w:cs="Times New Roman"/>
        </w:rPr>
        <w:t>Grupo</w:t>
      </w:r>
      <w:r w:rsidRPr="00D45D17">
        <w:rPr>
          <w:rFonts w:ascii="Times New Roman" w:hAnsi="Times New Roman" w:cs="Times New Roman"/>
          <w:spacing w:val="-2"/>
        </w:rPr>
        <w:t xml:space="preserve"> </w:t>
      </w:r>
      <w:r w:rsidRPr="00D45D17">
        <w:rPr>
          <w:rFonts w:ascii="Times New Roman" w:hAnsi="Times New Roman" w:cs="Times New Roman"/>
        </w:rPr>
        <w:t>ICE</w:t>
      </w:r>
      <w:r w:rsidRPr="00D45D17">
        <w:rPr>
          <w:rFonts w:ascii="Times New Roman" w:hAnsi="Times New Roman" w:cs="Times New Roman"/>
          <w:spacing w:val="-1"/>
        </w:rPr>
        <w:t xml:space="preserve"> </w:t>
      </w:r>
      <w:r w:rsidRPr="00D45D17">
        <w:rPr>
          <w:rFonts w:ascii="Times New Roman" w:hAnsi="Times New Roman" w:cs="Times New Roman"/>
        </w:rPr>
        <w:t>obtenga</w:t>
      </w:r>
      <w:r w:rsidRPr="00D45D17">
        <w:rPr>
          <w:rFonts w:ascii="Times New Roman" w:hAnsi="Times New Roman" w:cs="Times New Roman"/>
          <w:spacing w:val="-3"/>
        </w:rPr>
        <w:t xml:space="preserve"> </w:t>
      </w:r>
      <w:r w:rsidRPr="00D45D17">
        <w:rPr>
          <w:rFonts w:ascii="Times New Roman" w:hAnsi="Times New Roman" w:cs="Times New Roman"/>
        </w:rPr>
        <w:t>un resultado</w:t>
      </w:r>
      <w:r w:rsidRPr="00D45D17">
        <w:rPr>
          <w:rFonts w:ascii="Times New Roman" w:hAnsi="Times New Roman" w:cs="Times New Roman"/>
          <w:spacing w:val="-9"/>
        </w:rPr>
        <w:t xml:space="preserve"> </w:t>
      </w:r>
      <w:r w:rsidRPr="00D45D17">
        <w:rPr>
          <w:rFonts w:ascii="Times New Roman" w:hAnsi="Times New Roman" w:cs="Times New Roman"/>
        </w:rPr>
        <w:t>favorable</w:t>
      </w:r>
      <w:r w:rsidRPr="00D45D17">
        <w:rPr>
          <w:rFonts w:ascii="Times New Roman" w:hAnsi="Times New Roman" w:cs="Times New Roman"/>
          <w:spacing w:val="-9"/>
        </w:rPr>
        <w:t xml:space="preserve"> </w:t>
      </w:r>
      <w:r w:rsidRPr="00D45D17">
        <w:rPr>
          <w:rFonts w:ascii="Times New Roman" w:hAnsi="Times New Roman" w:cs="Times New Roman"/>
        </w:rPr>
        <w:t>y</w:t>
      </w:r>
      <w:r w:rsidRPr="00D45D17">
        <w:rPr>
          <w:rFonts w:ascii="Times New Roman" w:hAnsi="Times New Roman" w:cs="Times New Roman"/>
          <w:spacing w:val="-8"/>
        </w:rPr>
        <w:t xml:space="preserve"> </w:t>
      </w:r>
      <w:r w:rsidRPr="00D45D17">
        <w:rPr>
          <w:rFonts w:ascii="Times New Roman" w:hAnsi="Times New Roman" w:cs="Times New Roman"/>
        </w:rPr>
        <w:t>las</w:t>
      </w:r>
      <w:r w:rsidRPr="00D45D17">
        <w:rPr>
          <w:rFonts w:ascii="Times New Roman" w:hAnsi="Times New Roman" w:cs="Times New Roman"/>
          <w:spacing w:val="-9"/>
        </w:rPr>
        <w:t xml:space="preserve"> </w:t>
      </w:r>
      <w:r w:rsidRPr="00D45D17">
        <w:rPr>
          <w:rFonts w:ascii="Times New Roman" w:hAnsi="Times New Roman" w:cs="Times New Roman"/>
        </w:rPr>
        <w:t>posibilidades</w:t>
      </w:r>
      <w:r w:rsidRPr="00D45D17">
        <w:rPr>
          <w:rFonts w:ascii="Times New Roman" w:hAnsi="Times New Roman" w:cs="Times New Roman"/>
          <w:spacing w:val="-9"/>
        </w:rPr>
        <w:t xml:space="preserve"> </w:t>
      </w:r>
      <w:r w:rsidRPr="00D45D17">
        <w:rPr>
          <w:rFonts w:ascii="Times New Roman" w:hAnsi="Times New Roman" w:cs="Times New Roman"/>
        </w:rPr>
        <w:t>de</w:t>
      </w:r>
      <w:r w:rsidRPr="00D45D17">
        <w:rPr>
          <w:rFonts w:ascii="Times New Roman" w:hAnsi="Times New Roman" w:cs="Times New Roman"/>
          <w:spacing w:val="-9"/>
        </w:rPr>
        <w:t xml:space="preserve"> </w:t>
      </w:r>
      <w:r w:rsidRPr="00D45D17">
        <w:rPr>
          <w:rFonts w:ascii="Times New Roman" w:hAnsi="Times New Roman" w:cs="Times New Roman"/>
        </w:rPr>
        <w:t>una</w:t>
      </w:r>
      <w:r w:rsidRPr="00D45D17">
        <w:rPr>
          <w:rFonts w:ascii="Times New Roman" w:hAnsi="Times New Roman" w:cs="Times New Roman"/>
          <w:spacing w:val="-9"/>
        </w:rPr>
        <w:t xml:space="preserve"> </w:t>
      </w:r>
      <w:r w:rsidRPr="00D45D17">
        <w:rPr>
          <w:rFonts w:ascii="Times New Roman" w:hAnsi="Times New Roman" w:cs="Times New Roman"/>
        </w:rPr>
        <w:t>resolución</w:t>
      </w:r>
      <w:r w:rsidRPr="00D45D17">
        <w:rPr>
          <w:rFonts w:ascii="Times New Roman" w:hAnsi="Times New Roman" w:cs="Times New Roman"/>
          <w:spacing w:val="-10"/>
        </w:rPr>
        <w:t xml:space="preserve"> </w:t>
      </w:r>
      <w:r w:rsidRPr="00D45D17">
        <w:rPr>
          <w:rFonts w:ascii="Times New Roman" w:hAnsi="Times New Roman" w:cs="Times New Roman"/>
        </w:rPr>
        <w:t>a</w:t>
      </w:r>
      <w:r w:rsidRPr="00D45D17">
        <w:rPr>
          <w:rFonts w:ascii="Times New Roman" w:hAnsi="Times New Roman" w:cs="Times New Roman"/>
          <w:spacing w:val="-7"/>
        </w:rPr>
        <w:t xml:space="preserve"> </w:t>
      </w:r>
      <w:r w:rsidRPr="00D45D17">
        <w:rPr>
          <w:rFonts w:ascii="Times New Roman" w:hAnsi="Times New Roman" w:cs="Times New Roman"/>
        </w:rPr>
        <w:t>su</w:t>
      </w:r>
      <w:r w:rsidRPr="00D45D17">
        <w:rPr>
          <w:rFonts w:ascii="Times New Roman" w:hAnsi="Times New Roman" w:cs="Times New Roman"/>
          <w:spacing w:val="-9"/>
        </w:rPr>
        <w:t xml:space="preserve"> </w:t>
      </w:r>
      <w:r w:rsidRPr="00D45D17">
        <w:rPr>
          <w:rFonts w:ascii="Times New Roman" w:hAnsi="Times New Roman" w:cs="Times New Roman"/>
        </w:rPr>
        <w:t>favor</w:t>
      </w:r>
      <w:r w:rsidRPr="00D45D17">
        <w:rPr>
          <w:rFonts w:ascii="Times New Roman" w:hAnsi="Times New Roman" w:cs="Times New Roman"/>
          <w:spacing w:val="-11"/>
        </w:rPr>
        <w:t xml:space="preserve"> </w:t>
      </w:r>
      <w:r w:rsidRPr="00D45D17">
        <w:rPr>
          <w:rFonts w:ascii="Times New Roman" w:hAnsi="Times New Roman" w:cs="Times New Roman"/>
        </w:rPr>
        <w:t>sean</w:t>
      </w:r>
      <w:r w:rsidRPr="00D45D17">
        <w:rPr>
          <w:rFonts w:ascii="Times New Roman" w:hAnsi="Times New Roman" w:cs="Times New Roman"/>
          <w:spacing w:val="-9"/>
        </w:rPr>
        <w:t xml:space="preserve"> </w:t>
      </w:r>
      <w:r w:rsidRPr="00D45D17">
        <w:rPr>
          <w:rFonts w:ascii="Times New Roman" w:hAnsi="Times New Roman" w:cs="Times New Roman"/>
        </w:rPr>
        <w:t>mayores,</w:t>
      </w:r>
      <w:r w:rsidRPr="00D45D17">
        <w:rPr>
          <w:rFonts w:ascii="Times New Roman" w:hAnsi="Times New Roman" w:cs="Times New Roman"/>
          <w:spacing w:val="-12"/>
        </w:rPr>
        <w:t xml:space="preserve"> </w:t>
      </w:r>
      <w:r w:rsidRPr="00D45D17">
        <w:rPr>
          <w:rFonts w:ascii="Times New Roman" w:hAnsi="Times New Roman" w:cs="Times New Roman"/>
        </w:rPr>
        <w:t>por</w:t>
      </w:r>
      <w:r w:rsidRPr="00D45D17">
        <w:rPr>
          <w:rFonts w:ascii="Times New Roman" w:hAnsi="Times New Roman" w:cs="Times New Roman"/>
          <w:spacing w:val="-9"/>
        </w:rPr>
        <w:t xml:space="preserve"> </w:t>
      </w:r>
      <w:r w:rsidRPr="00D45D17">
        <w:rPr>
          <w:rFonts w:ascii="Times New Roman" w:hAnsi="Times New Roman" w:cs="Times New Roman"/>
        </w:rPr>
        <w:t>lo</w:t>
      </w:r>
      <w:r w:rsidRPr="00D45D17">
        <w:rPr>
          <w:rFonts w:ascii="Times New Roman" w:hAnsi="Times New Roman" w:cs="Times New Roman"/>
          <w:spacing w:val="-12"/>
        </w:rPr>
        <w:t xml:space="preserve"> </w:t>
      </w:r>
      <w:r w:rsidRPr="00D45D17">
        <w:rPr>
          <w:rFonts w:ascii="Times New Roman" w:hAnsi="Times New Roman" w:cs="Times New Roman"/>
        </w:rPr>
        <w:t xml:space="preserve">tanto, y con base en el criterio del asesor legal, se estima como remota la probabilidad de salida de </w:t>
      </w:r>
      <w:r w:rsidRPr="00D45D17">
        <w:rPr>
          <w:rFonts w:ascii="Times New Roman" w:hAnsi="Times New Roman" w:cs="Times New Roman"/>
          <w:spacing w:val="-2"/>
        </w:rPr>
        <w:t>recursos.</w:t>
      </w:r>
    </w:p>
    <w:p w14:paraId="412E254F" w14:textId="77777777" w:rsidR="00CC74F4" w:rsidRDefault="00CC74F4" w:rsidP="00CC74F4">
      <w:pPr>
        <w:pStyle w:val="Textoindependiente"/>
        <w:spacing w:before="1"/>
      </w:pPr>
    </w:p>
    <w:p w14:paraId="225A24FD" w14:textId="77777777" w:rsidR="00CC74F4" w:rsidRDefault="00CC74F4" w:rsidP="00CC74F4">
      <w:pPr>
        <w:pStyle w:val="Prrafodelista"/>
        <w:widowControl w:val="0"/>
        <w:numPr>
          <w:ilvl w:val="0"/>
          <w:numId w:val="103"/>
        </w:numPr>
        <w:tabs>
          <w:tab w:val="left" w:pos="810"/>
        </w:tabs>
        <w:autoSpaceDE w:val="0"/>
        <w:autoSpaceDN w:val="0"/>
        <w:ind w:left="810" w:right="104" w:hanging="708"/>
        <w:jc w:val="both"/>
      </w:pPr>
      <w:r>
        <w:t>La Demanda interpuesta por la empresa P.H. Hidrotárcoles, S.A. que se lleva bajo el expediente judicial 15-006491-1027-CA en relación con el proyecto hidráulico P.H. Capulín iniciado</w:t>
      </w:r>
      <w:r>
        <w:rPr>
          <w:spacing w:val="-6"/>
        </w:rPr>
        <w:t xml:space="preserve"> </w:t>
      </w:r>
      <w:r>
        <w:t>por</w:t>
      </w:r>
      <w:r>
        <w:rPr>
          <w:spacing w:val="-5"/>
        </w:rPr>
        <w:t xml:space="preserve"> </w:t>
      </w:r>
      <w:r>
        <w:t>esa</w:t>
      </w:r>
      <w:r>
        <w:rPr>
          <w:spacing w:val="-5"/>
        </w:rPr>
        <w:t xml:space="preserve"> </w:t>
      </w:r>
      <w:r>
        <w:t>empresa</w:t>
      </w:r>
      <w:r>
        <w:rPr>
          <w:spacing w:val="-6"/>
        </w:rPr>
        <w:t xml:space="preserve"> </w:t>
      </w:r>
      <w:r>
        <w:t>y</w:t>
      </w:r>
      <w:r>
        <w:rPr>
          <w:spacing w:val="-9"/>
        </w:rPr>
        <w:t xml:space="preserve"> </w:t>
      </w:r>
      <w:r>
        <w:t>contemplado</w:t>
      </w:r>
      <w:r>
        <w:rPr>
          <w:spacing w:val="-6"/>
        </w:rPr>
        <w:t xml:space="preserve"> </w:t>
      </w:r>
      <w:r>
        <w:t>en</w:t>
      </w:r>
      <w:r>
        <w:rPr>
          <w:spacing w:val="-6"/>
        </w:rPr>
        <w:t xml:space="preserve"> </w:t>
      </w:r>
      <w:r>
        <w:t>un</w:t>
      </w:r>
      <w:r>
        <w:rPr>
          <w:spacing w:val="-6"/>
        </w:rPr>
        <w:t xml:space="preserve"> </w:t>
      </w:r>
      <w:r>
        <w:t>contrato</w:t>
      </w:r>
      <w:r>
        <w:rPr>
          <w:spacing w:val="-9"/>
        </w:rPr>
        <w:t xml:space="preserve"> </w:t>
      </w:r>
      <w:r>
        <w:t>de</w:t>
      </w:r>
      <w:r>
        <w:rPr>
          <w:spacing w:val="-6"/>
        </w:rPr>
        <w:t xml:space="preserve"> </w:t>
      </w:r>
      <w:r>
        <w:t>compra</w:t>
      </w:r>
      <w:r>
        <w:rPr>
          <w:spacing w:val="-6"/>
        </w:rPr>
        <w:t xml:space="preserve"> </w:t>
      </w:r>
      <w:r>
        <w:t>de</w:t>
      </w:r>
      <w:r>
        <w:rPr>
          <w:spacing w:val="-6"/>
        </w:rPr>
        <w:t xml:space="preserve"> </w:t>
      </w:r>
      <w:r>
        <w:t>energía</w:t>
      </w:r>
      <w:r>
        <w:rPr>
          <w:spacing w:val="-6"/>
        </w:rPr>
        <w:t xml:space="preserve"> </w:t>
      </w:r>
      <w:r>
        <w:t>suscrito</w:t>
      </w:r>
      <w:r>
        <w:rPr>
          <w:spacing w:val="-6"/>
        </w:rPr>
        <w:t xml:space="preserve"> </w:t>
      </w:r>
      <w:r>
        <w:t>el</w:t>
      </w:r>
      <w:r>
        <w:rPr>
          <w:spacing w:val="-5"/>
        </w:rPr>
        <w:t xml:space="preserve"> </w:t>
      </w:r>
      <w:r>
        <w:t>24</w:t>
      </w:r>
      <w:r>
        <w:rPr>
          <w:spacing w:val="-6"/>
        </w:rPr>
        <w:t xml:space="preserve"> </w:t>
      </w:r>
      <w:r>
        <w:t xml:space="preserve">de abril de 2012, entre el ICE y la entidad demandante. De acuerdo con los términos de ese </w:t>
      </w:r>
      <w:r>
        <w:rPr>
          <w:spacing w:val="-2"/>
        </w:rPr>
        <w:t>contrato,</w:t>
      </w:r>
      <w:r>
        <w:rPr>
          <w:spacing w:val="-6"/>
        </w:rPr>
        <w:t xml:space="preserve"> </w:t>
      </w:r>
      <w:r>
        <w:rPr>
          <w:spacing w:val="-2"/>
        </w:rPr>
        <w:t>una</w:t>
      </w:r>
      <w:r>
        <w:rPr>
          <w:spacing w:val="-5"/>
        </w:rPr>
        <w:t xml:space="preserve"> </w:t>
      </w:r>
      <w:r>
        <w:rPr>
          <w:spacing w:val="-2"/>
        </w:rPr>
        <w:t>vez</w:t>
      </w:r>
      <w:r>
        <w:rPr>
          <w:spacing w:val="-5"/>
        </w:rPr>
        <w:t xml:space="preserve"> </w:t>
      </w:r>
      <w:r>
        <w:rPr>
          <w:spacing w:val="-2"/>
        </w:rPr>
        <w:t>dada</w:t>
      </w:r>
      <w:r>
        <w:rPr>
          <w:spacing w:val="-8"/>
        </w:rPr>
        <w:t xml:space="preserve"> </w:t>
      </w:r>
      <w:r>
        <w:rPr>
          <w:spacing w:val="-2"/>
        </w:rPr>
        <w:t>la</w:t>
      </w:r>
      <w:r>
        <w:rPr>
          <w:spacing w:val="-5"/>
        </w:rPr>
        <w:t xml:space="preserve"> </w:t>
      </w:r>
      <w:r>
        <w:rPr>
          <w:spacing w:val="-2"/>
        </w:rPr>
        <w:t>orden</w:t>
      </w:r>
      <w:r>
        <w:rPr>
          <w:spacing w:val="-5"/>
        </w:rPr>
        <w:t xml:space="preserve"> </w:t>
      </w:r>
      <w:r>
        <w:rPr>
          <w:spacing w:val="-2"/>
        </w:rPr>
        <w:t>de</w:t>
      </w:r>
      <w:r>
        <w:rPr>
          <w:spacing w:val="-5"/>
        </w:rPr>
        <w:t xml:space="preserve"> </w:t>
      </w:r>
      <w:r>
        <w:rPr>
          <w:spacing w:val="-2"/>
        </w:rPr>
        <w:t>inicio</w:t>
      </w:r>
      <w:r>
        <w:rPr>
          <w:spacing w:val="-6"/>
        </w:rPr>
        <w:t xml:space="preserve"> </w:t>
      </w:r>
      <w:r>
        <w:rPr>
          <w:spacing w:val="-2"/>
        </w:rPr>
        <w:t>la</w:t>
      </w:r>
      <w:r>
        <w:rPr>
          <w:spacing w:val="-8"/>
        </w:rPr>
        <w:t xml:space="preserve"> </w:t>
      </w:r>
      <w:r>
        <w:rPr>
          <w:spacing w:val="-2"/>
        </w:rPr>
        <w:t>empresa</w:t>
      </w:r>
      <w:r>
        <w:rPr>
          <w:spacing w:val="-5"/>
        </w:rPr>
        <w:t xml:space="preserve"> </w:t>
      </w:r>
      <w:r>
        <w:rPr>
          <w:spacing w:val="-2"/>
        </w:rPr>
        <w:t>mencionada</w:t>
      </w:r>
      <w:r>
        <w:rPr>
          <w:spacing w:val="-5"/>
        </w:rPr>
        <w:t xml:space="preserve"> </w:t>
      </w:r>
      <w:r>
        <w:rPr>
          <w:spacing w:val="-2"/>
        </w:rPr>
        <w:t>debía</w:t>
      </w:r>
      <w:r>
        <w:rPr>
          <w:spacing w:val="-5"/>
        </w:rPr>
        <w:t xml:space="preserve"> </w:t>
      </w:r>
      <w:r>
        <w:rPr>
          <w:spacing w:val="-2"/>
        </w:rPr>
        <w:t>empezar</w:t>
      </w:r>
      <w:r>
        <w:rPr>
          <w:spacing w:val="-5"/>
        </w:rPr>
        <w:t xml:space="preserve"> </w:t>
      </w:r>
      <w:r>
        <w:rPr>
          <w:spacing w:val="-2"/>
        </w:rPr>
        <w:t>la</w:t>
      </w:r>
      <w:r>
        <w:rPr>
          <w:spacing w:val="-5"/>
        </w:rPr>
        <w:t xml:space="preserve"> </w:t>
      </w:r>
      <w:r>
        <w:rPr>
          <w:spacing w:val="-2"/>
        </w:rPr>
        <w:t xml:space="preserve">construcción </w:t>
      </w:r>
      <w:r>
        <w:t>de</w:t>
      </w:r>
      <w:r>
        <w:rPr>
          <w:spacing w:val="-9"/>
        </w:rPr>
        <w:t xml:space="preserve"> </w:t>
      </w:r>
      <w:r>
        <w:t>la</w:t>
      </w:r>
      <w:r>
        <w:rPr>
          <w:spacing w:val="-9"/>
        </w:rPr>
        <w:t xml:space="preserve"> </w:t>
      </w:r>
      <w:r>
        <w:t>planta</w:t>
      </w:r>
      <w:r>
        <w:rPr>
          <w:spacing w:val="-9"/>
        </w:rPr>
        <w:t xml:space="preserve"> </w:t>
      </w:r>
      <w:r>
        <w:t>en</w:t>
      </w:r>
      <w:r>
        <w:rPr>
          <w:spacing w:val="-12"/>
        </w:rPr>
        <w:t xml:space="preserve"> </w:t>
      </w:r>
      <w:r>
        <w:t>agosto</w:t>
      </w:r>
      <w:r>
        <w:rPr>
          <w:spacing w:val="-12"/>
        </w:rPr>
        <w:t xml:space="preserve"> </w:t>
      </w:r>
      <w:r>
        <w:t>de</w:t>
      </w:r>
      <w:r>
        <w:rPr>
          <w:spacing w:val="-9"/>
        </w:rPr>
        <w:t xml:space="preserve"> </w:t>
      </w:r>
      <w:r>
        <w:t>2012,</w:t>
      </w:r>
      <w:r>
        <w:rPr>
          <w:spacing w:val="-10"/>
        </w:rPr>
        <w:t xml:space="preserve"> </w:t>
      </w:r>
      <w:r>
        <w:t>quedando</w:t>
      </w:r>
      <w:r>
        <w:rPr>
          <w:spacing w:val="-12"/>
        </w:rPr>
        <w:t xml:space="preserve"> </w:t>
      </w:r>
      <w:r>
        <w:t>previsto</w:t>
      </w:r>
      <w:r>
        <w:rPr>
          <w:spacing w:val="-12"/>
        </w:rPr>
        <w:t xml:space="preserve"> </w:t>
      </w:r>
      <w:r>
        <w:t>el</w:t>
      </w:r>
      <w:r>
        <w:rPr>
          <w:spacing w:val="-11"/>
        </w:rPr>
        <w:t xml:space="preserve"> </w:t>
      </w:r>
      <w:r>
        <w:t>inicio</w:t>
      </w:r>
      <w:r>
        <w:rPr>
          <w:spacing w:val="-10"/>
        </w:rPr>
        <w:t xml:space="preserve"> </w:t>
      </w:r>
      <w:r>
        <w:t>de</w:t>
      </w:r>
      <w:r>
        <w:rPr>
          <w:spacing w:val="-9"/>
        </w:rPr>
        <w:t xml:space="preserve"> </w:t>
      </w:r>
      <w:r>
        <w:t>operación</w:t>
      </w:r>
      <w:r>
        <w:rPr>
          <w:spacing w:val="-12"/>
        </w:rPr>
        <w:t xml:space="preserve"> </w:t>
      </w:r>
      <w:r>
        <w:t>comercial</w:t>
      </w:r>
      <w:r>
        <w:rPr>
          <w:spacing w:val="-12"/>
        </w:rPr>
        <w:t xml:space="preserve"> </w:t>
      </w:r>
      <w:r>
        <w:t>para</w:t>
      </w:r>
      <w:r>
        <w:rPr>
          <w:spacing w:val="-12"/>
        </w:rPr>
        <w:t xml:space="preserve"> </w:t>
      </w:r>
      <w:r>
        <w:t>agosto de 2015.</w:t>
      </w:r>
    </w:p>
    <w:p w14:paraId="7749B6DA" w14:textId="77777777" w:rsidR="00CC74F4" w:rsidRDefault="00CC74F4" w:rsidP="00CC74F4">
      <w:pPr>
        <w:pStyle w:val="Textoindependiente"/>
        <w:spacing w:before="1"/>
      </w:pPr>
    </w:p>
    <w:p w14:paraId="61F8CB32" w14:textId="77777777" w:rsidR="00CC74F4" w:rsidRPr="00D45D17" w:rsidRDefault="00CC74F4" w:rsidP="00CC74F4">
      <w:pPr>
        <w:pStyle w:val="Textoindependiente"/>
        <w:spacing w:before="1"/>
        <w:ind w:left="821" w:right="105" w:hanging="720"/>
        <w:rPr>
          <w:rFonts w:ascii="Times New Roman" w:hAnsi="Times New Roman" w:cs="Times New Roman"/>
        </w:rPr>
      </w:pPr>
      <w:r w:rsidRPr="00D45D17">
        <w:rPr>
          <w:rFonts w:ascii="Times New Roman" w:hAnsi="Times New Roman" w:cs="Times New Roman"/>
        </w:rPr>
        <w:t>No obstante, debido a atrasos en su proceso de construcción, en diciembre de 2015, el ICE inició un procedimiento administrativo tendiente a la resolución de ese contrato y sanción de apercibimiento a la empresa Hidrotárcoles, S.A. por incumplimiento en la fecha garantizada de inicio</w:t>
      </w:r>
      <w:r w:rsidRPr="00D45D17">
        <w:rPr>
          <w:rFonts w:ascii="Times New Roman" w:hAnsi="Times New Roman" w:cs="Times New Roman"/>
          <w:spacing w:val="-2"/>
        </w:rPr>
        <w:t xml:space="preserve"> </w:t>
      </w:r>
      <w:r w:rsidRPr="00D45D17">
        <w:rPr>
          <w:rFonts w:ascii="Times New Roman" w:hAnsi="Times New Roman" w:cs="Times New Roman"/>
        </w:rPr>
        <w:t>de operación,</w:t>
      </w:r>
      <w:r w:rsidRPr="00D45D17">
        <w:rPr>
          <w:rFonts w:ascii="Times New Roman" w:hAnsi="Times New Roman" w:cs="Times New Roman"/>
          <w:spacing w:val="-2"/>
        </w:rPr>
        <w:t xml:space="preserve"> </w:t>
      </w:r>
      <w:r w:rsidRPr="00D45D17">
        <w:rPr>
          <w:rFonts w:ascii="Times New Roman" w:hAnsi="Times New Roman" w:cs="Times New Roman"/>
        </w:rPr>
        <w:t>siendo que</w:t>
      </w:r>
      <w:r w:rsidRPr="00D45D17">
        <w:rPr>
          <w:rFonts w:ascii="Times New Roman" w:hAnsi="Times New Roman" w:cs="Times New Roman"/>
          <w:spacing w:val="-2"/>
        </w:rPr>
        <w:t xml:space="preserve"> </w:t>
      </w:r>
      <w:r w:rsidRPr="00D45D17">
        <w:rPr>
          <w:rFonts w:ascii="Times New Roman" w:hAnsi="Times New Roman" w:cs="Times New Roman"/>
        </w:rPr>
        <w:t>a</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fecha</w:t>
      </w:r>
      <w:r w:rsidRPr="00D45D17">
        <w:rPr>
          <w:rFonts w:ascii="Times New Roman" w:hAnsi="Times New Roman" w:cs="Times New Roman"/>
          <w:spacing w:val="-2"/>
        </w:rPr>
        <w:t xml:space="preserve"> </w:t>
      </w:r>
      <w:r w:rsidRPr="00D45D17">
        <w:rPr>
          <w:rFonts w:ascii="Times New Roman" w:hAnsi="Times New Roman" w:cs="Times New Roman"/>
        </w:rPr>
        <w:t>en que</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obra</w:t>
      </w:r>
      <w:r w:rsidRPr="00D45D17">
        <w:rPr>
          <w:rFonts w:ascii="Times New Roman" w:hAnsi="Times New Roman" w:cs="Times New Roman"/>
          <w:spacing w:val="-2"/>
        </w:rPr>
        <w:t xml:space="preserve"> </w:t>
      </w:r>
      <w:r w:rsidRPr="00D45D17">
        <w:rPr>
          <w:rFonts w:ascii="Times New Roman" w:hAnsi="Times New Roman" w:cs="Times New Roman"/>
        </w:rPr>
        <w:t>(planta)</w:t>
      </w:r>
      <w:r w:rsidRPr="00D45D17">
        <w:rPr>
          <w:rFonts w:ascii="Times New Roman" w:hAnsi="Times New Roman" w:cs="Times New Roman"/>
          <w:spacing w:val="-1"/>
        </w:rPr>
        <w:t xml:space="preserve"> </w:t>
      </w:r>
      <w:r w:rsidRPr="00D45D17">
        <w:rPr>
          <w:rFonts w:ascii="Times New Roman" w:hAnsi="Times New Roman" w:cs="Times New Roman"/>
        </w:rPr>
        <w:t>debía</w:t>
      </w:r>
      <w:r w:rsidRPr="00D45D17">
        <w:rPr>
          <w:rFonts w:ascii="Times New Roman" w:hAnsi="Times New Roman" w:cs="Times New Roman"/>
          <w:spacing w:val="-2"/>
        </w:rPr>
        <w:t xml:space="preserve"> </w:t>
      </w:r>
      <w:r w:rsidRPr="00D45D17">
        <w:rPr>
          <w:rFonts w:ascii="Times New Roman" w:hAnsi="Times New Roman" w:cs="Times New Roman"/>
        </w:rPr>
        <w:t>estar construida, el avance era de un 20%.</w:t>
      </w:r>
    </w:p>
    <w:p w14:paraId="20981CB3" w14:textId="77777777" w:rsidR="00CC74F4" w:rsidRDefault="00CC74F4" w:rsidP="00CC74F4">
      <w:pPr>
        <w:pStyle w:val="Textoindependiente"/>
        <w:spacing w:before="10"/>
        <w:rPr>
          <w:sz w:val="21"/>
        </w:rPr>
      </w:pPr>
    </w:p>
    <w:p w14:paraId="0691C936" w14:textId="77777777" w:rsidR="00CC74F4" w:rsidRPr="00D45D17" w:rsidRDefault="00CC74F4" w:rsidP="00CC74F4">
      <w:pPr>
        <w:pStyle w:val="Textoindependiente"/>
        <w:spacing w:before="1"/>
        <w:ind w:left="821" w:right="104" w:hanging="720"/>
        <w:rPr>
          <w:rFonts w:ascii="Times New Roman" w:hAnsi="Times New Roman" w:cs="Times New Roman"/>
        </w:rPr>
      </w:pPr>
      <w:r w:rsidRPr="00D45D17">
        <w:rPr>
          <w:rFonts w:ascii="Times New Roman" w:hAnsi="Times New Roman" w:cs="Times New Roman"/>
        </w:rPr>
        <w:t>El 21 de febrero de 2017, el Tribunal de Apelaciones de lo Contencioso Administrativo rechazó en forma definitiva la medida cautelar solicitada por la empresa, por lo que, a partir de esa resolución se habilitó al ICE a continuar con el procedimiento antes indicado. Durante el trascurso de dicho procedimiento, la empresa Hidrotárcoles también intentó en varias oportunidades detenerlo, con reiteradas acciones de recusación a los miembros del órgano director</w:t>
      </w:r>
      <w:r w:rsidRPr="00D45D17">
        <w:rPr>
          <w:rFonts w:ascii="Times New Roman" w:hAnsi="Times New Roman" w:cs="Times New Roman"/>
          <w:spacing w:val="-14"/>
        </w:rPr>
        <w:t xml:space="preserve"> </w:t>
      </w:r>
      <w:r w:rsidRPr="00D45D17">
        <w:rPr>
          <w:rFonts w:ascii="Times New Roman" w:hAnsi="Times New Roman" w:cs="Times New Roman"/>
        </w:rPr>
        <w:t>e</w:t>
      </w:r>
      <w:r w:rsidRPr="00D45D17">
        <w:rPr>
          <w:rFonts w:ascii="Times New Roman" w:hAnsi="Times New Roman" w:cs="Times New Roman"/>
          <w:spacing w:val="-14"/>
        </w:rPr>
        <w:t xml:space="preserve"> </w:t>
      </w:r>
      <w:r w:rsidRPr="00D45D17">
        <w:rPr>
          <w:rFonts w:ascii="Times New Roman" w:hAnsi="Times New Roman" w:cs="Times New Roman"/>
        </w:rPr>
        <w:t>incluso</w:t>
      </w:r>
      <w:r w:rsidRPr="00D45D17">
        <w:rPr>
          <w:rFonts w:ascii="Times New Roman" w:hAnsi="Times New Roman" w:cs="Times New Roman"/>
          <w:spacing w:val="-13"/>
        </w:rPr>
        <w:t xml:space="preserve"> </w:t>
      </w:r>
      <w:r w:rsidRPr="00D45D17">
        <w:rPr>
          <w:rFonts w:ascii="Times New Roman" w:hAnsi="Times New Roman" w:cs="Times New Roman"/>
        </w:rPr>
        <w:t>una</w:t>
      </w:r>
      <w:r w:rsidRPr="00D45D17">
        <w:rPr>
          <w:rFonts w:ascii="Times New Roman" w:hAnsi="Times New Roman" w:cs="Times New Roman"/>
          <w:spacing w:val="-12"/>
        </w:rPr>
        <w:t xml:space="preserve"> </w:t>
      </w:r>
      <w:r w:rsidRPr="00D45D17">
        <w:rPr>
          <w:rFonts w:ascii="Times New Roman" w:hAnsi="Times New Roman" w:cs="Times New Roman"/>
        </w:rPr>
        <w:t>demanda</w:t>
      </w:r>
      <w:r w:rsidRPr="00D45D17">
        <w:rPr>
          <w:rFonts w:ascii="Times New Roman" w:hAnsi="Times New Roman" w:cs="Times New Roman"/>
          <w:spacing w:val="-14"/>
        </w:rPr>
        <w:t xml:space="preserve"> </w:t>
      </w:r>
      <w:r w:rsidRPr="00D45D17">
        <w:rPr>
          <w:rFonts w:ascii="Times New Roman" w:hAnsi="Times New Roman" w:cs="Times New Roman"/>
        </w:rPr>
        <w:t>judicial</w:t>
      </w:r>
      <w:r w:rsidRPr="00D45D17">
        <w:rPr>
          <w:rFonts w:ascii="Times New Roman" w:hAnsi="Times New Roman" w:cs="Times New Roman"/>
          <w:spacing w:val="-13"/>
        </w:rPr>
        <w:t xml:space="preserve"> </w:t>
      </w:r>
      <w:r w:rsidRPr="00D45D17">
        <w:rPr>
          <w:rFonts w:ascii="Times New Roman" w:hAnsi="Times New Roman" w:cs="Times New Roman"/>
        </w:rPr>
        <w:t>en</w:t>
      </w:r>
      <w:r w:rsidRPr="00D45D17">
        <w:rPr>
          <w:rFonts w:ascii="Times New Roman" w:hAnsi="Times New Roman" w:cs="Times New Roman"/>
          <w:spacing w:val="-14"/>
        </w:rPr>
        <w:t xml:space="preserve"> </w:t>
      </w:r>
      <w:r w:rsidRPr="00D45D17">
        <w:rPr>
          <w:rFonts w:ascii="Times New Roman" w:hAnsi="Times New Roman" w:cs="Times New Roman"/>
        </w:rPr>
        <w:t>contra</w:t>
      </w:r>
      <w:r w:rsidRPr="00D45D17">
        <w:rPr>
          <w:rFonts w:ascii="Times New Roman" w:hAnsi="Times New Roman" w:cs="Times New Roman"/>
          <w:spacing w:val="-12"/>
        </w:rPr>
        <w:t xml:space="preserve"> </w:t>
      </w:r>
      <w:r w:rsidRPr="00D45D17">
        <w:rPr>
          <w:rFonts w:ascii="Times New Roman" w:hAnsi="Times New Roman" w:cs="Times New Roman"/>
        </w:rPr>
        <w:t>de</w:t>
      </w:r>
      <w:r w:rsidRPr="00D45D17">
        <w:rPr>
          <w:rFonts w:ascii="Times New Roman" w:hAnsi="Times New Roman" w:cs="Times New Roman"/>
          <w:spacing w:val="-14"/>
        </w:rPr>
        <w:t xml:space="preserve"> </w:t>
      </w:r>
      <w:r w:rsidRPr="00D45D17">
        <w:rPr>
          <w:rFonts w:ascii="Times New Roman" w:hAnsi="Times New Roman" w:cs="Times New Roman"/>
        </w:rPr>
        <w:t>los</w:t>
      </w:r>
      <w:r w:rsidRPr="00D45D17">
        <w:rPr>
          <w:rFonts w:ascii="Times New Roman" w:hAnsi="Times New Roman" w:cs="Times New Roman"/>
          <w:spacing w:val="-14"/>
        </w:rPr>
        <w:t xml:space="preserve"> </w:t>
      </w:r>
      <w:r w:rsidRPr="00D45D17">
        <w:rPr>
          <w:rFonts w:ascii="Times New Roman" w:hAnsi="Times New Roman" w:cs="Times New Roman"/>
        </w:rPr>
        <w:t>funcionarios</w:t>
      </w:r>
      <w:r w:rsidRPr="00D45D17">
        <w:rPr>
          <w:rFonts w:ascii="Times New Roman" w:hAnsi="Times New Roman" w:cs="Times New Roman"/>
          <w:spacing w:val="-13"/>
        </w:rPr>
        <w:t xml:space="preserve"> </w:t>
      </w:r>
      <w:r w:rsidRPr="00D45D17">
        <w:rPr>
          <w:rFonts w:ascii="Times New Roman" w:hAnsi="Times New Roman" w:cs="Times New Roman"/>
        </w:rPr>
        <w:t>que</w:t>
      </w:r>
      <w:r w:rsidRPr="00D45D17">
        <w:rPr>
          <w:rFonts w:ascii="Times New Roman" w:hAnsi="Times New Roman" w:cs="Times New Roman"/>
          <w:spacing w:val="-14"/>
        </w:rPr>
        <w:t xml:space="preserve"> </w:t>
      </w:r>
      <w:r w:rsidRPr="00D45D17">
        <w:rPr>
          <w:rFonts w:ascii="Times New Roman" w:hAnsi="Times New Roman" w:cs="Times New Roman"/>
        </w:rPr>
        <w:t>integraron</w:t>
      </w:r>
      <w:r w:rsidRPr="00D45D17">
        <w:rPr>
          <w:rFonts w:ascii="Times New Roman" w:hAnsi="Times New Roman" w:cs="Times New Roman"/>
          <w:spacing w:val="-14"/>
        </w:rPr>
        <w:t xml:space="preserve"> </w:t>
      </w:r>
      <w:r w:rsidRPr="00D45D17">
        <w:rPr>
          <w:rFonts w:ascii="Times New Roman" w:hAnsi="Times New Roman" w:cs="Times New Roman"/>
        </w:rPr>
        <w:t>el</w:t>
      </w:r>
      <w:r w:rsidRPr="00D45D17">
        <w:rPr>
          <w:rFonts w:ascii="Times New Roman" w:hAnsi="Times New Roman" w:cs="Times New Roman"/>
          <w:spacing w:val="-12"/>
        </w:rPr>
        <w:t xml:space="preserve"> </w:t>
      </w:r>
      <w:r w:rsidRPr="00D45D17">
        <w:rPr>
          <w:rFonts w:ascii="Times New Roman" w:hAnsi="Times New Roman" w:cs="Times New Roman"/>
        </w:rPr>
        <w:t>referido órgano, sin embargo, todas las recusaciones fueron rechazadas y la demanda fue declarada inadmisible por el Tribunal Contencioso Administrativo en enero de 2018.</w:t>
      </w:r>
    </w:p>
    <w:p w14:paraId="47994608" w14:textId="77777777" w:rsidR="00CC74F4" w:rsidRDefault="00CC74F4" w:rsidP="00CC74F4">
      <w:pPr>
        <w:pStyle w:val="Textoindependiente"/>
        <w:spacing w:before="4"/>
        <w:rPr>
          <w:sz w:val="12"/>
        </w:rPr>
      </w:pPr>
    </w:p>
    <w:p w14:paraId="5E206D8E" w14:textId="77777777" w:rsidR="00CC74F4" w:rsidRPr="00D45D17" w:rsidRDefault="00CC74F4" w:rsidP="00CC74F4">
      <w:pPr>
        <w:pStyle w:val="Textoindependiente"/>
        <w:spacing w:before="92"/>
        <w:ind w:left="821" w:right="104" w:hanging="720"/>
        <w:rPr>
          <w:rFonts w:ascii="Times New Roman" w:hAnsi="Times New Roman" w:cs="Times New Roman"/>
        </w:rPr>
      </w:pPr>
      <w:r w:rsidRPr="00D45D17">
        <w:rPr>
          <w:rFonts w:ascii="Times New Roman" w:hAnsi="Times New Roman" w:cs="Times New Roman"/>
        </w:rPr>
        <w:t>Por</w:t>
      </w:r>
      <w:r w:rsidRPr="00D45D17">
        <w:rPr>
          <w:rFonts w:ascii="Times New Roman" w:hAnsi="Times New Roman" w:cs="Times New Roman"/>
          <w:spacing w:val="-6"/>
        </w:rPr>
        <w:t xml:space="preserve"> </w:t>
      </w:r>
      <w:r w:rsidRPr="00D45D17">
        <w:rPr>
          <w:rFonts w:ascii="Times New Roman" w:hAnsi="Times New Roman" w:cs="Times New Roman"/>
        </w:rPr>
        <w:t>último,</w:t>
      </w:r>
      <w:r w:rsidRPr="00D45D17">
        <w:rPr>
          <w:rFonts w:ascii="Times New Roman" w:hAnsi="Times New Roman" w:cs="Times New Roman"/>
          <w:spacing w:val="-7"/>
        </w:rPr>
        <w:t xml:space="preserve"> </w:t>
      </w:r>
      <w:r w:rsidRPr="00D45D17">
        <w:rPr>
          <w:rFonts w:ascii="Times New Roman" w:hAnsi="Times New Roman" w:cs="Times New Roman"/>
        </w:rPr>
        <w:t>el</w:t>
      </w:r>
      <w:r w:rsidRPr="00D45D17">
        <w:rPr>
          <w:rFonts w:ascii="Times New Roman" w:hAnsi="Times New Roman" w:cs="Times New Roman"/>
          <w:spacing w:val="-6"/>
        </w:rPr>
        <w:t xml:space="preserve"> </w:t>
      </w:r>
      <w:r w:rsidRPr="00D45D17">
        <w:rPr>
          <w:rFonts w:ascii="Times New Roman" w:hAnsi="Times New Roman" w:cs="Times New Roman"/>
        </w:rPr>
        <w:t>9</w:t>
      </w:r>
      <w:r w:rsidRPr="00D45D17">
        <w:rPr>
          <w:rFonts w:ascii="Times New Roman" w:hAnsi="Times New Roman" w:cs="Times New Roman"/>
          <w:spacing w:val="-10"/>
        </w:rPr>
        <w:t xml:space="preserve"> </w:t>
      </w:r>
      <w:r w:rsidRPr="00D45D17">
        <w:rPr>
          <w:rFonts w:ascii="Times New Roman" w:hAnsi="Times New Roman" w:cs="Times New Roman"/>
        </w:rPr>
        <w:t>de</w:t>
      </w:r>
      <w:r w:rsidRPr="00D45D17">
        <w:rPr>
          <w:rFonts w:ascii="Times New Roman" w:hAnsi="Times New Roman" w:cs="Times New Roman"/>
          <w:spacing w:val="-9"/>
        </w:rPr>
        <w:t xml:space="preserve"> </w:t>
      </w:r>
      <w:r w:rsidRPr="00D45D17">
        <w:rPr>
          <w:rFonts w:ascii="Times New Roman" w:hAnsi="Times New Roman" w:cs="Times New Roman"/>
        </w:rPr>
        <w:t>febrero</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2022</w:t>
      </w:r>
      <w:r w:rsidRPr="00D45D17">
        <w:rPr>
          <w:rFonts w:ascii="Times New Roman" w:hAnsi="Times New Roman" w:cs="Times New Roman"/>
          <w:spacing w:val="-10"/>
        </w:rPr>
        <w:t xml:space="preserve"> </w:t>
      </w:r>
      <w:r w:rsidRPr="00D45D17">
        <w:rPr>
          <w:rFonts w:ascii="Times New Roman" w:hAnsi="Times New Roman" w:cs="Times New Roman"/>
        </w:rPr>
        <w:t>se</w:t>
      </w:r>
      <w:r w:rsidRPr="00D45D17">
        <w:rPr>
          <w:rFonts w:ascii="Times New Roman" w:hAnsi="Times New Roman" w:cs="Times New Roman"/>
          <w:spacing w:val="-9"/>
        </w:rPr>
        <w:t xml:space="preserve"> </w:t>
      </w:r>
      <w:r w:rsidRPr="00D45D17">
        <w:rPr>
          <w:rFonts w:ascii="Times New Roman" w:hAnsi="Times New Roman" w:cs="Times New Roman"/>
        </w:rPr>
        <w:t>recibió</w:t>
      </w:r>
      <w:r w:rsidRPr="00D45D17">
        <w:rPr>
          <w:rFonts w:ascii="Times New Roman" w:hAnsi="Times New Roman" w:cs="Times New Roman"/>
          <w:spacing w:val="-10"/>
        </w:rPr>
        <w:t xml:space="preserve"> </w:t>
      </w:r>
      <w:r w:rsidRPr="00D45D17">
        <w:rPr>
          <w:rFonts w:ascii="Times New Roman" w:hAnsi="Times New Roman" w:cs="Times New Roman"/>
        </w:rPr>
        <w:t>la</w:t>
      </w:r>
      <w:r w:rsidRPr="00D45D17">
        <w:rPr>
          <w:rFonts w:ascii="Times New Roman" w:hAnsi="Times New Roman" w:cs="Times New Roman"/>
          <w:spacing w:val="-7"/>
        </w:rPr>
        <w:t xml:space="preserve"> </w:t>
      </w:r>
      <w:r w:rsidRPr="00D45D17">
        <w:rPr>
          <w:rFonts w:ascii="Times New Roman" w:hAnsi="Times New Roman" w:cs="Times New Roman"/>
        </w:rPr>
        <w:t>demanda</w:t>
      </w:r>
      <w:r w:rsidRPr="00D45D17">
        <w:rPr>
          <w:rFonts w:ascii="Times New Roman" w:hAnsi="Times New Roman" w:cs="Times New Roman"/>
          <w:spacing w:val="-7"/>
        </w:rPr>
        <w:t xml:space="preserve"> </w:t>
      </w:r>
      <w:r w:rsidRPr="00D45D17">
        <w:rPr>
          <w:rFonts w:ascii="Times New Roman" w:hAnsi="Times New Roman" w:cs="Times New Roman"/>
        </w:rPr>
        <w:t>por</w:t>
      </w:r>
      <w:r w:rsidRPr="00D45D17">
        <w:rPr>
          <w:rFonts w:ascii="Times New Roman" w:hAnsi="Times New Roman" w:cs="Times New Roman"/>
          <w:spacing w:val="-9"/>
        </w:rPr>
        <w:t xml:space="preserve"> </w:t>
      </w:r>
      <w:r w:rsidRPr="00D45D17">
        <w:rPr>
          <w:rFonts w:ascii="Times New Roman" w:hAnsi="Times New Roman" w:cs="Times New Roman"/>
        </w:rPr>
        <w:t>declaratoria</w:t>
      </w:r>
      <w:r w:rsidRPr="00D45D17">
        <w:rPr>
          <w:rFonts w:ascii="Times New Roman" w:hAnsi="Times New Roman" w:cs="Times New Roman"/>
          <w:spacing w:val="-9"/>
        </w:rPr>
        <w:t xml:space="preserve"> </w:t>
      </w:r>
      <w:r w:rsidRPr="00D45D17">
        <w:rPr>
          <w:rFonts w:ascii="Times New Roman" w:hAnsi="Times New Roman" w:cs="Times New Roman"/>
        </w:rPr>
        <w:t>de</w:t>
      </w:r>
      <w:r w:rsidRPr="00D45D17">
        <w:rPr>
          <w:rFonts w:ascii="Times New Roman" w:hAnsi="Times New Roman" w:cs="Times New Roman"/>
          <w:spacing w:val="-3"/>
        </w:rPr>
        <w:t xml:space="preserve"> </w:t>
      </w:r>
      <w:r w:rsidRPr="00D45D17">
        <w:rPr>
          <w:rFonts w:ascii="Times New Roman" w:hAnsi="Times New Roman" w:cs="Times New Roman"/>
        </w:rPr>
        <w:t>nulidad</w:t>
      </w:r>
      <w:r w:rsidRPr="00D45D17">
        <w:rPr>
          <w:rFonts w:ascii="Times New Roman" w:hAnsi="Times New Roman" w:cs="Times New Roman"/>
          <w:spacing w:val="-7"/>
        </w:rPr>
        <w:t xml:space="preserve"> </w:t>
      </w:r>
      <w:r w:rsidRPr="00D45D17">
        <w:rPr>
          <w:rFonts w:ascii="Times New Roman" w:hAnsi="Times New Roman" w:cs="Times New Roman"/>
        </w:rPr>
        <w:t>y</w:t>
      </w:r>
      <w:r w:rsidRPr="00D45D17">
        <w:rPr>
          <w:rFonts w:ascii="Times New Roman" w:hAnsi="Times New Roman" w:cs="Times New Roman"/>
          <w:spacing w:val="-7"/>
        </w:rPr>
        <w:t xml:space="preserve"> </w:t>
      </w:r>
      <w:r w:rsidRPr="00D45D17">
        <w:rPr>
          <w:rFonts w:ascii="Times New Roman" w:hAnsi="Times New Roman" w:cs="Times New Roman"/>
        </w:rPr>
        <w:t>pagos</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7"/>
        </w:rPr>
        <w:t xml:space="preserve"> </w:t>
      </w:r>
      <w:r w:rsidRPr="00D45D17">
        <w:rPr>
          <w:rFonts w:ascii="Times New Roman" w:hAnsi="Times New Roman" w:cs="Times New Roman"/>
        </w:rPr>
        <w:t>daños y perjuicios bajo un número de expediente nuevo (22-00344-1027-CA) de la empresa Hidrotárcoles en contra del ICE. El 23 de marzo de 2022, el ICE contestó dicha demanda y presentó</w:t>
      </w:r>
      <w:r w:rsidRPr="00D45D17">
        <w:rPr>
          <w:rFonts w:ascii="Times New Roman" w:hAnsi="Times New Roman" w:cs="Times New Roman"/>
          <w:spacing w:val="-14"/>
        </w:rPr>
        <w:t xml:space="preserve"> </w:t>
      </w:r>
      <w:r w:rsidRPr="00D45D17">
        <w:rPr>
          <w:rFonts w:ascii="Times New Roman" w:hAnsi="Times New Roman" w:cs="Times New Roman"/>
        </w:rPr>
        <w:t>junto</w:t>
      </w:r>
      <w:r w:rsidRPr="00D45D17">
        <w:rPr>
          <w:rFonts w:ascii="Times New Roman" w:hAnsi="Times New Roman" w:cs="Times New Roman"/>
          <w:spacing w:val="-14"/>
        </w:rPr>
        <w:t xml:space="preserve"> </w:t>
      </w:r>
      <w:r w:rsidRPr="00D45D17">
        <w:rPr>
          <w:rFonts w:ascii="Times New Roman" w:hAnsi="Times New Roman" w:cs="Times New Roman"/>
        </w:rPr>
        <w:t>con</w:t>
      </w:r>
      <w:r w:rsidRPr="00D45D17">
        <w:rPr>
          <w:rFonts w:ascii="Times New Roman" w:hAnsi="Times New Roman" w:cs="Times New Roman"/>
          <w:spacing w:val="-14"/>
        </w:rPr>
        <w:t xml:space="preserve"> </w:t>
      </w:r>
      <w:r w:rsidRPr="00D45D17">
        <w:rPr>
          <w:rFonts w:ascii="Times New Roman" w:hAnsi="Times New Roman" w:cs="Times New Roman"/>
        </w:rPr>
        <w:t>la</w:t>
      </w:r>
      <w:r w:rsidRPr="00D45D17">
        <w:rPr>
          <w:rFonts w:ascii="Times New Roman" w:hAnsi="Times New Roman" w:cs="Times New Roman"/>
          <w:spacing w:val="-13"/>
        </w:rPr>
        <w:t xml:space="preserve"> </w:t>
      </w:r>
      <w:r w:rsidRPr="00D45D17">
        <w:rPr>
          <w:rFonts w:ascii="Times New Roman" w:hAnsi="Times New Roman" w:cs="Times New Roman"/>
        </w:rPr>
        <w:t>prueba</w:t>
      </w:r>
      <w:r w:rsidRPr="00D45D17">
        <w:rPr>
          <w:rFonts w:ascii="Times New Roman" w:hAnsi="Times New Roman" w:cs="Times New Roman"/>
          <w:spacing w:val="-14"/>
        </w:rPr>
        <w:t xml:space="preserve"> </w:t>
      </w:r>
      <w:r w:rsidRPr="00D45D17">
        <w:rPr>
          <w:rFonts w:ascii="Times New Roman" w:hAnsi="Times New Roman" w:cs="Times New Roman"/>
        </w:rPr>
        <w:t>documental</w:t>
      </w:r>
      <w:r w:rsidRPr="00D45D17">
        <w:rPr>
          <w:rFonts w:ascii="Times New Roman" w:hAnsi="Times New Roman" w:cs="Times New Roman"/>
          <w:spacing w:val="-14"/>
        </w:rPr>
        <w:t xml:space="preserve"> </w:t>
      </w:r>
      <w:r w:rsidRPr="00D45D17">
        <w:rPr>
          <w:rFonts w:ascii="Times New Roman" w:hAnsi="Times New Roman" w:cs="Times New Roman"/>
        </w:rPr>
        <w:t>y</w:t>
      </w:r>
      <w:r w:rsidRPr="00D45D17">
        <w:rPr>
          <w:rFonts w:ascii="Times New Roman" w:hAnsi="Times New Roman" w:cs="Times New Roman"/>
          <w:spacing w:val="-14"/>
        </w:rPr>
        <w:t xml:space="preserve"> </w:t>
      </w:r>
      <w:r w:rsidRPr="00D45D17">
        <w:rPr>
          <w:rFonts w:ascii="Times New Roman" w:hAnsi="Times New Roman" w:cs="Times New Roman"/>
        </w:rPr>
        <w:t>el</w:t>
      </w:r>
      <w:r w:rsidRPr="00D45D17">
        <w:rPr>
          <w:rFonts w:ascii="Times New Roman" w:hAnsi="Times New Roman" w:cs="Times New Roman"/>
          <w:spacing w:val="-13"/>
        </w:rPr>
        <w:t xml:space="preserve"> </w:t>
      </w:r>
      <w:r w:rsidRPr="00D45D17">
        <w:rPr>
          <w:rFonts w:ascii="Times New Roman" w:hAnsi="Times New Roman" w:cs="Times New Roman"/>
        </w:rPr>
        <w:t>ofrecimiento</w:t>
      </w:r>
      <w:r w:rsidRPr="00D45D17">
        <w:rPr>
          <w:rFonts w:ascii="Times New Roman" w:hAnsi="Times New Roman" w:cs="Times New Roman"/>
          <w:spacing w:val="-14"/>
        </w:rPr>
        <w:t xml:space="preserve"> </w:t>
      </w:r>
      <w:r w:rsidRPr="00D45D17">
        <w:rPr>
          <w:rFonts w:ascii="Times New Roman" w:hAnsi="Times New Roman" w:cs="Times New Roman"/>
        </w:rPr>
        <w:t>de</w:t>
      </w:r>
      <w:r w:rsidRPr="00D45D17">
        <w:rPr>
          <w:rFonts w:ascii="Times New Roman" w:hAnsi="Times New Roman" w:cs="Times New Roman"/>
          <w:spacing w:val="-14"/>
        </w:rPr>
        <w:t xml:space="preserve"> </w:t>
      </w:r>
      <w:r w:rsidRPr="00D45D17">
        <w:rPr>
          <w:rFonts w:ascii="Times New Roman" w:hAnsi="Times New Roman" w:cs="Times New Roman"/>
        </w:rPr>
        <w:t>testigos,</w:t>
      </w:r>
      <w:r w:rsidRPr="00D45D17">
        <w:rPr>
          <w:rFonts w:ascii="Times New Roman" w:hAnsi="Times New Roman" w:cs="Times New Roman"/>
          <w:spacing w:val="-14"/>
        </w:rPr>
        <w:t xml:space="preserve"> </w:t>
      </w:r>
      <w:r w:rsidRPr="00D45D17">
        <w:rPr>
          <w:rFonts w:ascii="Times New Roman" w:hAnsi="Times New Roman" w:cs="Times New Roman"/>
        </w:rPr>
        <w:t>fundamentos</w:t>
      </w:r>
      <w:r w:rsidRPr="00D45D17">
        <w:rPr>
          <w:rFonts w:ascii="Times New Roman" w:hAnsi="Times New Roman" w:cs="Times New Roman"/>
          <w:spacing w:val="-13"/>
        </w:rPr>
        <w:t xml:space="preserve"> </w:t>
      </w:r>
      <w:r w:rsidRPr="00D45D17">
        <w:rPr>
          <w:rFonts w:ascii="Times New Roman" w:hAnsi="Times New Roman" w:cs="Times New Roman"/>
        </w:rPr>
        <w:t>de</w:t>
      </w:r>
      <w:r w:rsidRPr="00D45D17">
        <w:rPr>
          <w:rFonts w:ascii="Times New Roman" w:hAnsi="Times New Roman" w:cs="Times New Roman"/>
          <w:spacing w:val="-14"/>
        </w:rPr>
        <w:t xml:space="preserve"> </w:t>
      </w:r>
      <w:r w:rsidRPr="00D45D17">
        <w:rPr>
          <w:rFonts w:ascii="Times New Roman" w:hAnsi="Times New Roman" w:cs="Times New Roman"/>
        </w:rPr>
        <w:t>derecho y excepción previa de “Litis Pendencia” en razón del expediente 15-6491-1027-CA. Actualmente,</w:t>
      </w:r>
      <w:r w:rsidRPr="00D45D17">
        <w:rPr>
          <w:rFonts w:ascii="Times New Roman" w:hAnsi="Times New Roman" w:cs="Times New Roman"/>
          <w:spacing w:val="-2"/>
        </w:rPr>
        <w:t xml:space="preserve"> </w:t>
      </w:r>
      <w:r w:rsidRPr="00D45D17">
        <w:rPr>
          <w:rFonts w:ascii="Times New Roman" w:hAnsi="Times New Roman" w:cs="Times New Roman"/>
        </w:rPr>
        <w:t>se</w:t>
      </w:r>
      <w:r w:rsidRPr="00D45D17">
        <w:rPr>
          <w:rFonts w:ascii="Times New Roman" w:hAnsi="Times New Roman" w:cs="Times New Roman"/>
          <w:spacing w:val="-2"/>
        </w:rPr>
        <w:t xml:space="preserve"> </w:t>
      </w:r>
      <w:r w:rsidRPr="00D45D17">
        <w:rPr>
          <w:rFonts w:ascii="Times New Roman" w:hAnsi="Times New Roman" w:cs="Times New Roman"/>
        </w:rPr>
        <w:t>está</w:t>
      </w:r>
      <w:r w:rsidRPr="00D45D17">
        <w:rPr>
          <w:rFonts w:ascii="Times New Roman" w:hAnsi="Times New Roman" w:cs="Times New Roman"/>
          <w:spacing w:val="-2"/>
        </w:rPr>
        <w:t xml:space="preserve"> </w:t>
      </w:r>
      <w:r w:rsidRPr="00D45D17">
        <w:rPr>
          <w:rFonts w:ascii="Times New Roman" w:hAnsi="Times New Roman" w:cs="Times New Roman"/>
        </w:rPr>
        <w:t>a</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espera</w:t>
      </w:r>
      <w:r w:rsidRPr="00D45D17">
        <w:rPr>
          <w:rFonts w:ascii="Times New Roman" w:hAnsi="Times New Roman" w:cs="Times New Roman"/>
          <w:spacing w:val="-2"/>
        </w:rPr>
        <w:t xml:space="preserve"> </w:t>
      </w:r>
      <w:r w:rsidRPr="00D45D17">
        <w:rPr>
          <w:rFonts w:ascii="Times New Roman" w:hAnsi="Times New Roman" w:cs="Times New Roman"/>
        </w:rPr>
        <w:t>de la</w:t>
      </w:r>
      <w:r w:rsidRPr="00D45D17">
        <w:rPr>
          <w:rFonts w:ascii="Times New Roman" w:hAnsi="Times New Roman" w:cs="Times New Roman"/>
          <w:spacing w:val="-2"/>
        </w:rPr>
        <w:t xml:space="preserve"> </w:t>
      </w:r>
      <w:r w:rsidRPr="00D45D17">
        <w:rPr>
          <w:rFonts w:ascii="Times New Roman" w:hAnsi="Times New Roman" w:cs="Times New Roman"/>
        </w:rPr>
        <w:t>audiencia</w:t>
      </w:r>
      <w:r w:rsidRPr="00D45D17">
        <w:rPr>
          <w:rFonts w:ascii="Times New Roman" w:hAnsi="Times New Roman" w:cs="Times New Roman"/>
          <w:spacing w:val="-2"/>
        </w:rPr>
        <w:t xml:space="preserve"> </w:t>
      </w:r>
      <w:r w:rsidRPr="00D45D17">
        <w:rPr>
          <w:rFonts w:ascii="Times New Roman" w:hAnsi="Times New Roman" w:cs="Times New Roman"/>
        </w:rPr>
        <w:t>preliminar.</w:t>
      </w:r>
      <w:r w:rsidRPr="00D45D17">
        <w:rPr>
          <w:rFonts w:ascii="Times New Roman" w:hAnsi="Times New Roman" w:cs="Times New Roman"/>
          <w:spacing w:val="-1"/>
        </w:rPr>
        <w:t xml:space="preserve"> </w:t>
      </w:r>
      <w:r w:rsidRPr="00D45D17">
        <w:rPr>
          <w:rFonts w:ascii="Times New Roman" w:hAnsi="Times New Roman" w:cs="Times New Roman"/>
        </w:rPr>
        <w:t>El</w:t>
      </w:r>
      <w:r w:rsidRPr="00D45D17">
        <w:rPr>
          <w:rFonts w:ascii="Times New Roman" w:hAnsi="Times New Roman" w:cs="Times New Roman"/>
          <w:spacing w:val="-2"/>
        </w:rPr>
        <w:t xml:space="preserve"> </w:t>
      </w:r>
      <w:r w:rsidRPr="00D45D17">
        <w:rPr>
          <w:rFonts w:ascii="Times New Roman" w:hAnsi="Times New Roman" w:cs="Times New Roman"/>
        </w:rPr>
        <w:t>importe</w:t>
      </w:r>
      <w:r w:rsidRPr="00D45D17">
        <w:rPr>
          <w:rFonts w:ascii="Times New Roman" w:hAnsi="Times New Roman" w:cs="Times New Roman"/>
          <w:spacing w:val="-2"/>
        </w:rPr>
        <w:t xml:space="preserve"> </w:t>
      </w:r>
      <w:r w:rsidRPr="00D45D17">
        <w:rPr>
          <w:rFonts w:ascii="Times New Roman" w:hAnsi="Times New Roman" w:cs="Times New Roman"/>
        </w:rPr>
        <w:t>de</w:t>
      </w:r>
      <w:r w:rsidRPr="00D45D17">
        <w:rPr>
          <w:rFonts w:ascii="Times New Roman" w:hAnsi="Times New Roman" w:cs="Times New Roman"/>
          <w:spacing w:val="-2"/>
        </w:rPr>
        <w:t xml:space="preserve"> </w:t>
      </w:r>
      <w:r w:rsidRPr="00D45D17">
        <w:rPr>
          <w:rFonts w:ascii="Times New Roman" w:hAnsi="Times New Roman" w:cs="Times New Roman"/>
        </w:rPr>
        <w:t>la</w:t>
      </w:r>
      <w:r w:rsidRPr="00D45D17">
        <w:rPr>
          <w:rFonts w:ascii="Times New Roman" w:hAnsi="Times New Roman" w:cs="Times New Roman"/>
          <w:spacing w:val="-2"/>
        </w:rPr>
        <w:t xml:space="preserve"> </w:t>
      </w:r>
      <w:r w:rsidRPr="00D45D17">
        <w:rPr>
          <w:rFonts w:ascii="Times New Roman" w:hAnsi="Times New Roman" w:cs="Times New Roman"/>
        </w:rPr>
        <w:t>cuantía</w:t>
      </w:r>
      <w:r w:rsidRPr="00D45D17">
        <w:rPr>
          <w:rFonts w:ascii="Times New Roman" w:hAnsi="Times New Roman" w:cs="Times New Roman"/>
          <w:spacing w:val="-2"/>
        </w:rPr>
        <w:t xml:space="preserve"> </w:t>
      </w:r>
      <w:r w:rsidRPr="00D45D17">
        <w:rPr>
          <w:rFonts w:ascii="Times New Roman" w:hAnsi="Times New Roman" w:cs="Times New Roman"/>
        </w:rPr>
        <w:t>estimada al</w:t>
      </w:r>
      <w:r w:rsidRPr="00D45D17">
        <w:rPr>
          <w:rFonts w:ascii="Times New Roman" w:hAnsi="Times New Roman" w:cs="Times New Roman"/>
          <w:spacing w:val="-5"/>
        </w:rPr>
        <w:t xml:space="preserve"> </w:t>
      </w:r>
      <w:r w:rsidRPr="00D45D17">
        <w:rPr>
          <w:rFonts w:ascii="Times New Roman" w:hAnsi="Times New Roman" w:cs="Times New Roman"/>
        </w:rPr>
        <w:t>31</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6"/>
        </w:rPr>
        <w:t xml:space="preserve"> </w:t>
      </w:r>
      <w:r w:rsidRPr="00D45D17">
        <w:rPr>
          <w:rFonts w:ascii="Times New Roman" w:hAnsi="Times New Roman" w:cs="Times New Roman"/>
        </w:rPr>
        <w:t>diciembre</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6"/>
        </w:rPr>
        <w:t xml:space="preserve"> </w:t>
      </w:r>
      <w:r w:rsidRPr="00D45D17">
        <w:rPr>
          <w:rFonts w:ascii="Times New Roman" w:hAnsi="Times New Roman" w:cs="Times New Roman"/>
        </w:rPr>
        <w:t>2022</w:t>
      </w:r>
      <w:r w:rsidRPr="00D45D17">
        <w:rPr>
          <w:rFonts w:ascii="Times New Roman" w:hAnsi="Times New Roman" w:cs="Times New Roman"/>
          <w:spacing w:val="-7"/>
        </w:rPr>
        <w:t xml:space="preserve"> </w:t>
      </w:r>
      <w:r w:rsidRPr="00D45D17">
        <w:rPr>
          <w:rFonts w:ascii="Times New Roman" w:hAnsi="Times New Roman" w:cs="Times New Roman"/>
        </w:rPr>
        <w:t>y</w:t>
      </w:r>
      <w:r w:rsidRPr="00D45D17">
        <w:rPr>
          <w:rFonts w:ascii="Times New Roman" w:hAnsi="Times New Roman" w:cs="Times New Roman"/>
          <w:spacing w:val="-6"/>
        </w:rPr>
        <w:t xml:space="preserve"> </w:t>
      </w:r>
      <w:r w:rsidRPr="00D45D17">
        <w:rPr>
          <w:rFonts w:ascii="Times New Roman" w:hAnsi="Times New Roman" w:cs="Times New Roman"/>
        </w:rPr>
        <w:t>de</w:t>
      </w:r>
      <w:r w:rsidRPr="00D45D17">
        <w:rPr>
          <w:rFonts w:ascii="Times New Roman" w:hAnsi="Times New Roman" w:cs="Times New Roman"/>
          <w:spacing w:val="-6"/>
        </w:rPr>
        <w:t xml:space="preserve"> </w:t>
      </w:r>
      <w:r w:rsidRPr="00D45D17">
        <w:rPr>
          <w:rFonts w:ascii="Times New Roman" w:hAnsi="Times New Roman" w:cs="Times New Roman"/>
        </w:rPr>
        <w:t>2021</w:t>
      </w:r>
      <w:r w:rsidRPr="00D45D17">
        <w:rPr>
          <w:rFonts w:ascii="Times New Roman" w:hAnsi="Times New Roman" w:cs="Times New Roman"/>
          <w:spacing w:val="-6"/>
        </w:rPr>
        <w:t xml:space="preserve"> </w:t>
      </w:r>
      <w:r w:rsidRPr="00D45D17">
        <w:rPr>
          <w:rFonts w:ascii="Times New Roman" w:hAnsi="Times New Roman" w:cs="Times New Roman"/>
        </w:rPr>
        <w:t>es</w:t>
      </w:r>
      <w:r w:rsidRPr="00D45D17">
        <w:rPr>
          <w:rFonts w:ascii="Times New Roman" w:hAnsi="Times New Roman" w:cs="Times New Roman"/>
          <w:spacing w:val="-5"/>
        </w:rPr>
        <w:t xml:space="preserve"> </w:t>
      </w:r>
      <w:r w:rsidRPr="00D45D17">
        <w:rPr>
          <w:rFonts w:ascii="Times New Roman" w:hAnsi="Times New Roman" w:cs="Times New Roman"/>
        </w:rPr>
        <w:t>de</w:t>
      </w:r>
      <w:r w:rsidRPr="00D45D17">
        <w:rPr>
          <w:rFonts w:ascii="Times New Roman" w:hAnsi="Times New Roman" w:cs="Times New Roman"/>
          <w:spacing w:val="-6"/>
        </w:rPr>
        <w:t xml:space="preserve"> </w:t>
      </w:r>
      <w:r w:rsidRPr="00D45D17">
        <w:rPr>
          <w:rFonts w:ascii="Times New Roman" w:hAnsi="Times New Roman" w:cs="Times New Roman"/>
        </w:rPr>
        <w:t>¢303.606,</w:t>
      </w:r>
      <w:r w:rsidRPr="00D45D17">
        <w:rPr>
          <w:rFonts w:ascii="Times New Roman" w:hAnsi="Times New Roman" w:cs="Times New Roman"/>
          <w:spacing w:val="-6"/>
        </w:rPr>
        <w:t xml:space="preserve"> </w:t>
      </w:r>
      <w:r w:rsidRPr="00D45D17">
        <w:rPr>
          <w:rFonts w:ascii="Times New Roman" w:hAnsi="Times New Roman" w:cs="Times New Roman"/>
        </w:rPr>
        <w:t>y</w:t>
      </w:r>
      <w:r w:rsidRPr="00D45D17">
        <w:rPr>
          <w:rFonts w:ascii="Times New Roman" w:hAnsi="Times New Roman" w:cs="Times New Roman"/>
          <w:spacing w:val="-9"/>
        </w:rPr>
        <w:t xml:space="preserve"> </w:t>
      </w:r>
      <w:r w:rsidRPr="00D45D17">
        <w:rPr>
          <w:rFonts w:ascii="Times New Roman" w:hAnsi="Times New Roman" w:cs="Times New Roman"/>
        </w:rPr>
        <w:t>con</w:t>
      </w:r>
      <w:r w:rsidRPr="00D45D17">
        <w:rPr>
          <w:rFonts w:ascii="Times New Roman" w:hAnsi="Times New Roman" w:cs="Times New Roman"/>
          <w:spacing w:val="-6"/>
        </w:rPr>
        <w:t xml:space="preserve"> </w:t>
      </w:r>
      <w:r w:rsidRPr="00D45D17">
        <w:rPr>
          <w:rFonts w:ascii="Times New Roman" w:hAnsi="Times New Roman" w:cs="Times New Roman"/>
        </w:rPr>
        <w:t>base</w:t>
      </w:r>
      <w:r w:rsidRPr="00D45D17">
        <w:rPr>
          <w:rFonts w:ascii="Times New Roman" w:hAnsi="Times New Roman" w:cs="Times New Roman"/>
          <w:spacing w:val="-6"/>
        </w:rPr>
        <w:t xml:space="preserve"> </w:t>
      </w:r>
      <w:r w:rsidRPr="00D45D17">
        <w:rPr>
          <w:rFonts w:ascii="Times New Roman" w:hAnsi="Times New Roman" w:cs="Times New Roman"/>
        </w:rPr>
        <w:t>al</w:t>
      </w:r>
      <w:r w:rsidRPr="00D45D17">
        <w:rPr>
          <w:rFonts w:ascii="Times New Roman" w:hAnsi="Times New Roman" w:cs="Times New Roman"/>
          <w:spacing w:val="-5"/>
        </w:rPr>
        <w:t xml:space="preserve"> </w:t>
      </w:r>
      <w:r w:rsidRPr="00D45D17">
        <w:rPr>
          <w:rFonts w:ascii="Times New Roman" w:hAnsi="Times New Roman" w:cs="Times New Roman"/>
        </w:rPr>
        <w:t>criterio</w:t>
      </w:r>
      <w:r w:rsidRPr="00D45D17">
        <w:rPr>
          <w:rFonts w:ascii="Times New Roman" w:hAnsi="Times New Roman" w:cs="Times New Roman"/>
          <w:spacing w:val="-6"/>
        </w:rPr>
        <w:t xml:space="preserve"> </w:t>
      </w:r>
      <w:r w:rsidRPr="00D45D17">
        <w:rPr>
          <w:rFonts w:ascii="Times New Roman" w:hAnsi="Times New Roman" w:cs="Times New Roman"/>
        </w:rPr>
        <w:t>del</w:t>
      </w:r>
      <w:r w:rsidRPr="00D45D17">
        <w:rPr>
          <w:rFonts w:ascii="Times New Roman" w:hAnsi="Times New Roman" w:cs="Times New Roman"/>
          <w:spacing w:val="-5"/>
        </w:rPr>
        <w:t xml:space="preserve"> </w:t>
      </w:r>
      <w:r w:rsidRPr="00D45D17">
        <w:rPr>
          <w:rFonts w:ascii="Times New Roman" w:hAnsi="Times New Roman" w:cs="Times New Roman"/>
        </w:rPr>
        <w:t>asesor</w:t>
      </w:r>
      <w:r w:rsidRPr="00D45D17">
        <w:rPr>
          <w:rFonts w:ascii="Times New Roman" w:hAnsi="Times New Roman" w:cs="Times New Roman"/>
          <w:spacing w:val="-5"/>
        </w:rPr>
        <w:t xml:space="preserve"> </w:t>
      </w:r>
      <w:r w:rsidRPr="00D45D17">
        <w:rPr>
          <w:rFonts w:ascii="Times New Roman" w:hAnsi="Times New Roman" w:cs="Times New Roman"/>
        </w:rPr>
        <w:t>legal</w:t>
      </w:r>
      <w:r w:rsidRPr="00D45D17">
        <w:rPr>
          <w:rFonts w:ascii="Times New Roman" w:hAnsi="Times New Roman" w:cs="Times New Roman"/>
          <w:spacing w:val="-5"/>
        </w:rPr>
        <w:t xml:space="preserve"> </w:t>
      </w:r>
      <w:r w:rsidRPr="00D45D17">
        <w:rPr>
          <w:rFonts w:ascii="Times New Roman" w:hAnsi="Times New Roman" w:cs="Times New Roman"/>
        </w:rPr>
        <w:t>se estima como remota, la probabilidad de salida de recursos.</w:t>
      </w:r>
    </w:p>
    <w:p w14:paraId="1D17D9D3" w14:textId="77777777" w:rsidR="00CC74F4" w:rsidRDefault="00CC74F4" w:rsidP="00CC74F4">
      <w:pPr>
        <w:pStyle w:val="Textoindependiente"/>
      </w:pPr>
    </w:p>
    <w:p w14:paraId="370C2315" w14:textId="77777777" w:rsidR="00CC74F4" w:rsidRDefault="00CC74F4" w:rsidP="00CC74F4">
      <w:pPr>
        <w:pStyle w:val="Prrafodelista"/>
        <w:widowControl w:val="0"/>
        <w:numPr>
          <w:ilvl w:val="0"/>
          <w:numId w:val="102"/>
        </w:numPr>
        <w:tabs>
          <w:tab w:val="left" w:pos="822"/>
        </w:tabs>
        <w:autoSpaceDE w:val="0"/>
        <w:autoSpaceDN w:val="0"/>
        <w:spacing w:before="1"/>
        <w:ind w:left="821" w:right="102"/>
        <w:jc w:val="both"/>
      </w:pPr>
      <w:r>
        <w:t>Proceso de ejecución, expediente 17-003025-1763-CJ, interpuesto por la Caja Costarricense de Seguro Social, por cobro judicial en contra del Grupo ICE, por cuanto solicita que se cancele</w:t>
      </w:r>
      <w:r>
        <w:rPr>
          <w:spacing w:val="-7"/>
        </w:rPr>
        <w:t xml:space="preserve"> </w:t>
      </w:r>
      <w:r>
        <w:t>el</w:t>
      </w:r>
      <w:r>
        <w:rPr>
          <w:spacing w:val="-6"/>
        </w:rPr>
        <w:t xml:space="preserve"> </w:t>
      </w:r>
      <w:r>
        <w:t>aporte</w:t>
      </w:r>
      <w:r>
        <w:rPr>
          <w:spacing w:val="-7"/>
        </w:rPr>
        <w:t xml:space="preserve"> </w:t>
      </w:r>
      <w:r>
        <w:t>de</w:t>
      </w:r>
      <w:r>
        <w:rPr>
          <w:spacing w:val="-9"/>
        </w:rPr>
        <w:t xml:space="preserve"> </w:t>
      </w:r>
      <w:r>
        <w:t>las</w:t>
      </w:r>
      <w:r>
        <w:rPr>
          <w:spacing w:val="-6"/>
        </w:rPr>
        <w:t xml:space="preserve"> </w:t>
      </w:r>
      <w:r>
        <w:t>empresas</w:t>
      </w:r>
      <w:r>
        <w:rPr>
          <w:spacing w:val="-6"/>
        </w:rPr>
        <w:t xml:space="preserve"> </w:t>
      </w:r>
      <w:r>
        <w:t>estatales</w:t>
      </w:r>
      <w:r>
        <w:rPr>
          <w:spacing w:val="-6"/>
        </w:rPr>
        <w:t xml:space="preserve"> </w:t>
      </w:r>
      <w:r>
        <w:t>al</w:t>
      </w:r>
      <w:r>
        <w:rPr>
          <w:spacing w:val="-6"/>
        </w:rPr>
        <w:t xml:space="preserve"> </w:t>
      </w:r>
      <w:r>
        <w:t>régimen</w:t>
      </w:r>
      <w:r>
        <w:rPr>
          <w:spacing w:val="-7"/>
        </w:rPr>
        <w:t xml:space="preserve"> </w:t>
      </w:r>
      <w:r>
        <w:t>de</w:t>
      </w:r>
      <w:r>
        <w:rPr>
          <w:spacing w:val="-7"/>
        </w:rPr>
        <w:t xml:space="preserve"> </w:t>
      </w:r>
      <w:r>
        <w:t>Invalidez,</w:t>
      </w:r>
      <w:r>
        <w:rPr>
          <w:spacing w:val="-7"/>
        </w:rPr>
        <w:t xml:space="preserve"> </w:t>
      </w:r>
      <w:r>
        <w:t>Vejez</w:t>
      </w:r>
      <w:r>
        <w:rPr>
          <w:spacing w:val="-7"/>
        </w:rPr>
        <w:t xml:space="preserve"> </w:t>
      </w:r>
      <w:r>
        <w:t>y</w:t>
      </w:r>
      <w:r>
        <w:rPr>
          <w:spacing w:val="-1"/>
        </w:rPr>
        <w:t xml:space="preserve"> </w:t>
      </w:r>
      <w:r>
        <w:t>Muerte</w:t>
      </w:r>
      <w:r>
        <w:rPr>
          <w:spacing w:val="-9"/>
        </w:rPr>
        <w:t xml:space="preserve"> </w:t>
      </w:r>
      <w:r>
        <w:t>(IVM),</w:t>
      </w:r>
      <w:r>
        <w:rPr>
          <w:spacing w:val="-7"/>
        </w:rPr>
        <w:t xml:space="preserve"> </w:t>
      </w:r>
      <w:r>
        <w:t>de acuerdo con el artículo 78 de la Ley de Protección al Trabajador.</w:t>
      </w:r>
      <w:r>
        <w:rPr>
          <w:spacing w:val="40"/>
        </w:rPr>
        <w:t xml:space="preserve"> </w:t>
      </w:r>
      <w:r>
        <w:t>Se interpuso oposición debido</w:t>
      </w:r>
      <w:r>
        <w:rPr>
          <w:spacing w:val="-12"/>
        </w:rPr>
        <w:t xml:space="preserve"> </w:t>
      </w:r>
      <w:r>
        <w:t>a</w:t>
      </w:r>
      <w:r>
        <w:rPr>
          <w:spacing w:val="-9"/>
        </w:rPr>
        <w:t xml:space="preserve"> </w:t>
      </w:r>
      <w:r>
        <w:t>que</w:t>
      </w:r>
      <w:r>
        <w:rPr>
          <w:spacing w:val="-12"/>
        </w:rPr>
        <w:t xml:space="preserve"> </w:t>
      </w:r>
      <w:r>
        <w:t>el</w:t>
      </w:r>
      <w:r>
        <w:rPr>
          <w:spacing w:val="-8"/>
        </w:rPr>
        <w:t xml:space="preserve"> </w:t>
      </w:r>
      <w:r>
        <w:t>Grupo</w:t>
      </w:r>
      <w:r>
        <w:rPr>
          <w:spacing w:val="-9"/>
        </w:rPr>
        <w:t xml:space="preserve"> </w:t>
      </w:r>
      <w:r>
        <w:t>ICE</w:t>
      </w:r>
      <w:r>
        <w:rPr>
          <w:spacing w:val="-10"/>
        </w:rPr>
        <w:t xml:space="preserve"> </w:t>
      </w:r>
      <w:r>
        <w:t>debe</w:t>
      </w:r>
      <w:r>
        <w:rPr>
          <w:spacing w:val="-9"/>
        </w:rPr>
        <w:t xml:space="preserve"> </w:t>
      </w:r>
      <w:r>
        <w:t>hacer</w:t>
      </w:r>
      <w:r>
        <w:rPr>
          <w:spacing w:val="-9"/>
        </w:rPr>
        <w:t xml:space="preserve"> </w:t>
      </w:r>
      <w:r>
        <w:t>reinversión</w:t>
      </w:r>
      <w:r>
        <w:rPr>
          <w:spacing w:val="-10"/>
        </w:rPr>
        <w:t xml:space="preserve"> </w:t>
      </w:r>
      <w:r>
        <w:t>de</w:t>
      </w:r>
      <w:r>
        <w:rPr>
          <w:spacing w:val="-9"/>
        </w:rPr>
        <w:t xml:space="preserve"> </w:t>
      </w:r>
      <w:r>
        <w:t>sus</w:t>
      </w:r>
      <w:r>
        <w:rPr>
          <w:spacing w:val="-9"/>
        </w:rPr>
        <w:t xml:space="preserve"> </w:t>
      </w:r>
      <w:r>
        <w:t>utilidades.</w:t>
      </w:r>
      <w:r>
        <w:rPr>
          <w:spacing w:val="-10"/>
        </w:rPr>
        <w:t xml:space="preserve"> </w:t>
      </w:r>
      <w:r>
        <w:t>Además,</w:t>
      </w:r>
      <w:r>
        <w:rPr>
          <w:spacing w:val="-9"/>
        </w:rPr>
        <w:t xml:space="preserve"> </w:t>
      </w:r>
      <w:r>
        <w:t>se</w:t>
      </w:r>
      <w:r>
        <w:rPr>
          <w:spacing w:val="-11"/>
        </w:rPr>
        <w:t xml:space="preserve"> </w:t>
      </w:r>
      <w:r>
        <w:t>está</w:t>
      </w:r>
      <w:r>
        <w:rPr>
          <w:spacing w:val="-9"/>
        </w:rPr>
        <w:t xml:space="preserve"> </w:t>
      </w:r>
      <w:r>
        <w:t>cobrando lo que corresponde a las empresas subsidiarias del Grupo ICE, lo cual es improcedente. El importe</w:t>
      </w:r>
      <w:r>
        <w:rPr>
          <w:spacing w:val="-2"/>
        </w:rPr>
        <w:t xml:space="preserve"> </w:t>
      </w:r>
      <w:r>
        <w:t>de</w:t>
      </w:r>
      <w:r>
        <w:rPr>
          <w:spacing w:val="-4"/>
        </w:rPr>
        <w:t xml:space="preserve"> </w:t>
      </w:r>
      <w:r>
        <w:t>la</w:t>
      </w:r>
      <w:r>
        <w:rPr>
          <w:spacing w:val="-2"/>
        </w:rPr>
        <w:t xml:space="preserve"> </w:t>
      </w:r>
      <w:r>
        <w:t>cuantía</w:t>
      </w:r>
      <w:r>
        <w:rPr>
          <w:spacing w:val="-2"/>
        </w:rPr>
        <w:t xml:space="preserve"> </w:t>
      </w:r>
      <w:r>
        <w:t>estimada</w:t>
      </w:r>
      <w:r>
        <w:rPr>
          <w:spacing w:val="-2"/>
        </w:rPr>
        <w:t xml:space="preserve"> </w:t>
      </w:r>
      <w:r>
        <w:t>al</w:t>
      </w:r>
      <w:r>
        <w:rPr>
          <w:spacing w:val="-1"/>
        </w:rPr>
        <w:t xml:space="preserve"> </w:t>
      </w:r>
      <w:r>
        <w:t>31</w:t>
      </w:r>
      <w:r>
        <w:rPr>
          <w:spacing w:val="-2"/>
        </w:rPr>
        <w:t xml:space="preserve"> </w:t>
      </w:r>
      <w:r>
        <w:t>de</w:t>
      </w:r>
      <w:r>
        <w:rPr>
          <w:spacing w:val="-2"/>
        </w:rPr>
        <w:t xml:space="preserve"> </w:t>
      </w:r>
      <w:r>
        <w:t>diciembre</w:t>
      </w:r>
      <w:r>
        <w:rPr>
          <w:spacing w:val="-2"/>
        </w:rPr>
        <w:t xml:space="preserve"> </w:t>
      </w:r>
      <w:r>
        <w:t>de</w:t>
      </w:r>
      <w:r>
        <w:rPr>
          <w:spacing w:val="-2"/>
        </w:rPr>
        <w:t xml:space="preserve"> </w:t>
      </w:r>
      <w:r>
        <w:t>2022</w:t>
      </w:r>
      <w:r>
        <w:rPr>
          <w:spacing w:val="-2"/>
        </w:rPr>
        <w:t xml:space="preserve"> </w:t>
      </w:r>
      <w:r>
        <w:t>y</w:t>
      </w:r>
      <w:r>
        <w:rPr>
          <w:spacing w:val="-2"/>
        </w:rPr>
        <w:t xml:space="preserve"> </w:t>
      </w:r>
      <w:r>
        <w:t>de</w:t>
      </w:r>
      <w:r>
        <w:rPr>
          <w:spacing w:val="-2"/>
        </w:rPr>
        <w:t xml:space="preserve"> </w:t>
      </w:r>
      <w:r>
        <w:t>2021</w:t>
      </w:r>
      <w:r>
        <w:rPr>
          <w:spacing w:val="-2"/>
        </w:rPr>
        <w:t xml:space="preserve"> </w:t>
      </w:r>
      <w:r>
        <w:t>es</w:t>
      </w:r>
      <w:r>
        <w:rPr>
          <w:spacing w:val="-2"/>
        </w:rPr>
        <w:t xml:space="preserve"> </w:t>
      </w:r>
      <w:r>
        <w:t>de</w:t>
      </w:r>
      <w:r>
        <w:rPr>
          <w:spacing w:val="-2"/>
        </w:rPr>
        <w:t xml:space="preserve"> </w:t>
      </w:r>
      <w:r>
        <w:t>¢2.186 y</w:t>
      </w:r>
      <w:r>
        <w:rPr>
          <w:spacing w:val="-2"/>
        </w:rPr>
        <w:t xml:space="preserve"> </w:t>
      </w:r>
      <w:r>
        <w:t>con</w:t>
      </w:r>
      <w:r>
        <w:rPr>
          <w:spacing w:val="-2"/>
        </w:rPr>
        <w:t xml:space="preserve"> </w:t>
      </w:r>
      <w:r>
        <w:t>base en</w:t>
      </w:r>
      <w:r>
        <w:rPr>
          <w:spacing w:val="-7"/>
        </w:rPr>
        <w:t xml:space="preserve"> </w:t>
      </w:r>
      <w:r>
        <w:t>el</w:t>
      </w:r>
      <w:r>
        <w:rPr>
          <w:spacing w:val="-8"/>
        </w:rPr>
        <w:t xml:space="preserve"> </w:t>
      </w:r>
      <w:r>
        <w:t>criterio</w:t>
      </w:r>
      <w:r>
        <w:rPr>
          <w:spacing w:val="-7"/>
        </w:rPr>
        <w:t xml:space="preserve"> </w:t>
      </w:r>
      <w:r>
        <w:t>del</w:t>
      </w:r>
      <w:r>
        <w:rPr>
          <w:spacing w:val="-6"/>
        </w:rPr>
        <w:t xml:space="preserve"> </w:t>
      </w:r>
      <w:r>
        <w:t>asesor</w:t>
      </w:r>
      <w:r>
        <w:rPr>
          <w:spacing w:val="-6"/>
        </w:rPr>
        <w:t xml:space="preserve"> </w:t>
      </w:r>
      <w:r>
        <w:t>legal</w:t>
      </w:r>
      <w:r>
        <w:rPr>
          <w:spacing w:val="-6"/>
        </w:rPr>
        <w:t xml:space="preserve"> </w:t>
      </w:r>
      <w:r>
        <w:t>no</w:t>
      </w:r>
      <w:r>
        <w:rPr>
          <w:spacing w:val="-7"/>
        </w:rPr>
        <w:t xml:space="preserve"> </w:t>
      </w:r>
      <w:r>
        <w:t>se</w:t>
      </w:r>
      <w:r>
        <w:rPr>
          <w:spacing w:val="-9"/>
        </w:rPr>
        <w:t xml:space="preserve"> </w:t>
      </w:r>
      <w:r>
        <w:t>considera</w:t>
      </w:r>
      <w:r>
        <w:rPr>
          <w:spacing w:val="-7"/>
        </w:rPr>
        <w:t xml:space="preserve"> </w:t>
      </w:r>
      <w:r>
        <w:t>probable</w:t>
      </w:r>
      <w:r>
        <w:rPr>
          <w:spacing w:val="-7"/>
        </w:rPr>
        <w:t xml:space="preserve"> </w:t>
      </w:r>
      <w:r>
        <w:t>una</w:t>
      </w:r>
      <w:r>
        <w:rPr>
          <w:spacing w:val="-7"/>
        </w:rPr>
        <w:t xml:space="preserve"> </w:t>
      </w:r>
      <w:r>
        <w:t>salida</w:t>
      </w:r>
      <w:r>
        <w:rPr>
          <w:spacing w:val="-7"/>
        </w:rPr>
        <w:t xml:space="preserve"> </w:t>
      </w:r>
      <w:r>
        <w:t>de</w:t>
      </w:r>
      <w:r>
        <w:rPr>
          <w:spacing w:val="-9"/>
        </w:rPr>
        <w:t xml:space="preserve"> </w:t>
      </w:r>
      <w:r>
        <w:t>recursos</w:t>
      </w:r>
      <w:r>
        <w:rPr>
          <w:spacing w:val="-6"/>
        </w:rPr>
        <w:t xml:space="preserve"> </w:t>
      </w:r>
      <w:r>
        <w:t>para</w:t>
      </w:r>
      <w:r>
        <w:rPr>
          <w:spacing w:val="-7"/>
        </w:rPr>
        <w:t xml:space="preserve"> </w:t>
      </w:r>
      <w:r>
        <w:t>hacer</w:t>
      </w:r>
      <w:r>
        <w:rPr>
          <w:spacing w:val="-8"/>
        </w:rPr>
        <w:t xml:space="preserve"> </w:t>
      </w:r>
      <w:r>
        <w:t>frente a este reclamo.</w:t>
      </w:r>
    </w:p>
    <w:p w14:paraId="67AAB5A4" w14:textId="77777777" w:rsidR="00CC74F4" w:rsidRDefault="00CC74F4" w:rsidP="00CC74F4">
      <w:pPr>
        <w:pStyle w:val="Textoindependiente"/>
      </w:pPr>
    </w:p>
    <w:p w14:paraId="1B074CB1" w14:textId="77777777" w:rsidR="00CC74F4" w:rsidRDefault="00CC74F4" w:rsidP="00CC74F4">
      <w:pPr>
        <w:pStyle w:val="Prrafodelista"/>
        <w:widowControl w:val="0"/>
        <w:numPr>
          <w:ilvl w:val="0"/>
          <w:numId w:val="102"/>
        </w:numPr>
        <w:tabs>
          <w:tab w:val="left" w:pos="822"/>
        </w:tabs>
        <w:autoSpaceDE w:val="0"/>
        <w:autoSpaceDN w:val="0"/>
        <w:ind w:left="821" w:right="104"/>
        <w:jc w:val="both"/>
      </w:pPr>
      <w:r>
        <w:t>Proceso ejecución de sentencia (contencioso), en el cual ARESEP</w:t>
      </w:r>
      <w:r>
        <w:rPr>
          <w:spacing w:val="-1"/>
        </w:rPr>
        <w:t xml:space="preserve"> </w:t>
      </w:r>
      <w:r>
        <w:t>y SUTEL presentaron una demanda de ejecución de costas personales, más los intereses legales correspondientes. El importe</w:t>
      </w:r>
      <w:r>
        <w:rPr>
          <w:spacing w:val="-9"/>
        </w:rPr>
        <w:t xml:space="preserve"> </w:t>
      </w:r>
      <w:r>
        <w:t>de</w:t>
      </w:r>
      <w:r>
        <w:rPr>
          <w:spacing w:val="-9"/>
        </w:rPr>
        <w:t xml:space="preserve"> </w:t>
      </w:r>
      <w:r>
        <w:t>dichas</w:t>
      </w:r>
      <w:r>
        <w:rPr>
          <w:spacing w:val="-9"/>
        </w:rPr>
        <w:t xml:space="preserve"> </w:t>
      </w:r>
      <w:r>
        <w:t>costas</w:t>
      </w:r>
      <w:r>
        <w:rPr>
          <w:spacing w:val="-9"/>
        </w:rPr>
        <w:t xml:space="preserve"> </w:t>
      </w:r>
      <w:r>
        <w:t>se</w:t>
      </w:r>
      <w:r>
        <w:rPr>
          <w:spacing w:val="-11"/>
        </w:rPr>
        <w:t xml:space="preserve"> </w:t>
      </w:r>
      <w:r>
        <w:t>ejecutó</w:t>
      </w:r>
      <w:r>
        <w:rPr>
          <w:spacing w:val="-11"/>
        </w:rPr>
        <w:t xml:space="preserve"> </w:t>
      </w:r>
      <w:r>
        <w:t>con</w:t>
      </w:r>
      <w:r>
        <w:rPr>
          <w:spacing w:val="-9"/>
        </w:rPr>
        <w:t xml:space="preserve"> </w:t>
      </w:r>
      <w:r>
        <w:t>base</w:t>
      </w:r>
      <w:r>
        <w:rPr>
          <w:spacing w:val="-9"/>
        </w:rPr>
        <w:t xml:space="preserve"> </w:t>
      </w:r>
      <w:r>
        <w:t>en</w:t>
      </w:r>
      <w:r>
        <w:rPr>
          <w:spacing w:val="-9"/>
        </w:rPr>
        <w:t xml:space="preserve"> </w:t>
      </w:r>
      <w:r>
        <w:t>la</w:t>
      </w:r>
      <w:r>
        <w:rPr>
          <w:spacing w:val="-11"/>
        </w:rPr>
        <w:t xml:space="preserve"> </w:t>
      </w:r>
      <w:r>
        <w:t>estimación</w:t>
      </w:r>
      <w:r>
        <w:rPr>
          <w:spacing w:val="-11"/>
        </w:rPr>
        <w:t xml:space="preserve"> </w:t>
      </w:r>
      <w:r>
        <w:t>de</w:t>
      </w:r>
      <w:r>
        <w:rPr>
          <w:spacing w:val="-9"/>
        </w:rPr>
        <w:t xml:space="preserve"> </w:t>
      </w:r>
      <w:r>
        <w:t>daños</w:t>
      </w:r>
      <w:r>
        <w:rPr>
          <w:spacing w:val="-9"/>
        </w:rPr>
        <w:t xml:space="preserve"> </w:t>
      </w:r>
      <w:r>
        <w:t>y</w:t>
      </w:r>
      <w:r>
        <w:rPr>
          <w:spacing w:val="-9"/>
        </w:rPr>
        <w:t xml:space="preserve"> </w:t>
      </w:r>
      <w:r>
        <w:t>perjuicios</w:t>
      </w:r>
      <w:r>
        <w:rPr>
          <w:spacing w:val="-10"/>
        </w:rPr>
        <w:t xml:space="preserve"> </w:t>
      </w:r>
      <w:r>
        <w:t>hechos</w:t>
      </w:r>
      <w:r>
        <w:rPr>
          <w:spacing w:val="-10"/>
        </w:rPr>
        <w:t xml:space="preserve"> </w:t>
      </w:r>
      <w:r>
        <w:t>por el Grupo ICE y aplicando el arancel de honorarios, más los intereses correspondientes. El 25 de marzo de 2019, el Grupo ICE contestó la demanda rechazando los montos de ambos demandados y solicitando se les otorgue solamente el pago de ¢1 para cada uno. El 21 de octubre de 2020, se notificó resolución que acoge recurso de apelación del Grupo ICE, se anula condenatoria y por consiguiente se devuelve expediente a la primera instancia para volver</w:t>
      </w:r>
      <w:r>
        <w:rPr>
          <w:spacing w:val="-14"/>
        </w:rPr>
        <w:t xml:space="preserve"> </w:t>
      </w:r>
      <w:r>
        <w:t>a</w:t>
      </w:r>
      <w:r>
        <w:rPr>
          <w:spacing w:val="-14"/>
        </w:rPr>
        <w:t xml:space="preserve"> </w:t>
      </w:r>
      <w:r>
        <w:t>emitir</w:t>
      </w:r>
      <w:r>
        <w:rPr>
          <w:spacing w:val="-14"/>
        </w:rPr>
        <w:t xml:space="preserve"> </w:t>
      </w:r>
      <w:r>
        <w:t>resolución.</w:t>
      </w:r>
      <w:r>
        <w:rPr>
          <w:spacing w:val="-13"/>
        </w:rPr>
        <w:t xml:space="preserve"> </w:t>
      </w:r>
      <w:r>
        <w:t>A</w:t>
      </w:r>
      <w:r>
        <w:rPr>
          <w:spacing w:val="-14"/>
        </w:rPr>
        <w:t xml:space="preserve"> </w:t>
      </w:r>
      <w:r>
        <w:t>la</w:t>
      </w:r>
      <w:r>
        <w:rPr>
          <w:spacing w:val="-14"/>
        </w:rPr>
        <w:t xml:space="preserve"> </w:t>
      </w:r>
      <w:r>
        <w:t>fecha</w:t>
      </w:r>
      <w:r>
        <w:rPr>
          <w:spacing w:val="-14"/>
        </w:rPr>
        <w:t xml:space="preserve"> </w:t>
      </w:r>
      <w:r>
        <w:t>de</w:t>
      </w:r>
      <w:r>
        <w:rPr>
          <w:spacing w:val="-13"/>
        </w:rPr>
        <w:t xml:space="preserve"> </w:t>
      </w:r>
      <w:r>
        <w:t>este</w:t>
      </w:r>
      <w:r>
        <w:rPr>
          <w:spacing w:val="-14"/>
        </w:rPr>
        <w:t xml:space="preserve"> </w:t>
      </w:r>
      <w:r>
        <w:t>informe</w:t>
      </w:r>
      <w:r>
        <w:rPr>
          <w:spacing w:val="-14"/>
        </w:rPr>
        <w:t xml:space="preserve"> </w:t>
      </w:r>
      <w:r>
        <w:t>se</w:t>
      </w:r>
      <w:r>
        <w:rPr>
          <w:spacing w:val="-14"/>
        </w:rPr>
        <w:t xml:space="preserve"> </w:t>
      </w:r>
      <w:r>
        <w:t>mantiene</w:t>
      </w:r>
      <w:r>
        <w:rPr>
          <w:spacing w:val="-13"/>
        </w:rPr>
        <w:t xml:space="preserve"> </w:t>
      </w:r>
      <w:r>
        <w:t>el</w:t>
      </w:r>
      <w:r>
        <w:rPr>
          <w:spacing w:val="-14"/>
        </w:rPr>
        <w:t xml:space="preserve"> </w:t>
      </w:r>
      <w:r>
        <w:t>estado</w:t>
      </w:r>
      <w:r>
        <w:rPr>
          <w:spacing w:val="-14"/>
        </w:rPr>
        <w:t xml:space="preserve"> </w:t>
      </w:r>
      <w:r>
        <w:t>del</w:t>
      </w:r>
      <w:r>
        <w:rPr>
          <w:spacing w:val="-14"/>
        </w:rPr>
        <w:t xml:space="preserve"> </w:t>
      </w:r>
      <w:r>
        <w:t>caso.</w:t>
      </w:r>
      <w:r>
        <w:rPr>
          <w:spacing w:val="-13"/>
        </w:rPr>
        <w:t xml:space="preserve"> </w:t>
      </w:r>
      <w:r>
        <w:t>El</w:t>
      </w:r>
      <w:r>
        <w:rPr>
          <w:spacing w:val="-14"/>
        </w:rPr>
        <w:t xml:space="preserve"> </w:t>
      </w:r>
      <w:r>
        <w:t>importe de la cuantía estimada al 31 de diciembre de 2022 y de 2021 es de ¢1.731 y con base en el criterio del asesor legal no se considera probable una salida de recursos para hacer frente a este reclamo.</w:t>
      </w:r>
    </w:p>
    <w:p w14:paraId="0215DC4D" w14:textId="77777777" w:rsidR="00CC74F4" w:rsidRDefault="00CC74F4" w:rsidP="00CC74F4">
      <w:pPr>
        <w:pStyle w:val="Textoindependiente"/>
        <w:spacing w:before="2"/>
      </w:pPr>
    </w:p>
    <w:p w14:paraId="1BB119B7" w14:textId="77777777" w:rsidR="00CC74F4" w:rsidRDefault="00CC74F4" w:rsidP="00CC74F4">
      <w:pPr>
        <w:pStyle w:val="Prrafodelista"/>
        <w:widowControl w:val="0"/>
        <w:numPr>
          <w:ilvl w:val="0"/>
          <w:numId w:val="102"/>
        </w:numPr>
        <w:tabs>
          <w:tab w:val="left" w:pos="822"/>
        </w:tabs>
        <w:autoSpaceDE w:val="0"/>
        <w:autoSpaceDN w:val="0"/>
        <w:ind w:left="821" w:right="104"/>
        <w:jc w:val="both"/>
      </w:pPr>
      <w:r>
        <w:t>Demanda</w:t>
      </w:r>
      <w:r>
        <w:rPr>
          <w:spacing w:val="-16"/>
        </w:rPr>
        <w:t xml:space="preserve"> </w:t>
      </w:r>
      <w:r>
        <w:t>interpuesta</w:t>
      </w:r>
      <w:r>
        <w:rPr>
          <w:spacing w:val="-14"/>
        </w:rPr>
        <w:t xml:space="preserve"> </w:t>
      </w:r>
      <w:r>
        <w:t>por</w:t>
      </w:r>
      <w:r>
        <w:rPr>
          <w:spacing w:val="-14"/>
        </w:rPr>
        <w:t xml:space="preserve"> </w:t>
      </w:r>
      <w:r>
        <w:t>la</w:t>
      </w:r>
      <w:r>
        <w:rPr>
          <w:spacing w:val="-13"/>
        </w:rPr>
        <w:t xml:space="preserve"> </w:t>
      </w:r>
      <w:r>
        <w:t>empresa</w:t>
      </w:r>
      <w:r>
        <w:rPr>
          <w:spacing w:val="-14"/>
        </w:rPr>
        <w:t xml:space="preserve"> </w:t>
      </w:r>
      <w:r>
        <w:t>Hidroeléctrica</w:t>
      </w:r>
      <w:r>
        <w:rPr>
          <w:spacing w:val="-14"/>
        </w:rPr>
        <w:t xml:space="preserve"> </w:t>
      </w:r>
      <w:r>
        <w:t>Noble,</w:t>
      </w:r>
      <w:r>
        <w:rPr>
          <w:spacing w:val="-14"/>
        </w:rPr>
        <w:t xml:space="preserve"> </w:t>
      </w:r>
      <w:r>
        <w:t>S.A.</w:t>
      </w:r>
      <w:r>
        <w:rPr>
          <w:spacing w:val="-13"/>
        </w:rPr>
        <w:t xml:space="preserve"> </w:t>
      </w:r>
      <w:r>
        <w:t>contra</w:t>
      </w:r>
      <w:r>
        <w:rPr>
          <w:spacing w:val="-14"/>
        </w:rPr>
        <w:t xml:space="preserve"> </w:t>
      </w:r>
      <w:r>
        <w:t>el</w:t>
      </w:r>
      <w:r>
        <w:rPr>
          <w:spacing w:val="-14"/>
        </w:rPr>
        <w:t xml:space="preserve"> </w:t>
      </w:r>
      <w:r>
        <w:t>Estado,</w:t>
      </w:r>
      <w:r>
        <w:rPr>
          <w:spacing w:val="-14"/>
        </w:rPr>
        <w:t xml:space="preserve"> </w:t>
      </w:r>
      <w:r>
        <w:t>la</w:t>
      </w:r>
      <w:r>
        <w:rPr>
          <w:spacing w:val="-13"/>
        </w:rPr>
        <w:t xml:space="preserve"> </w:t>
      </w:r>
      <w:r>
        <w:t>subsidiaria CNFL y el Grupo ICE, en el que se pretende la declaratoria de disolución de CNFL por el vencimiento de su plazo social.</w:t>
      </w:r>
      <w:r>
        <w:rPr>
          <w:spacing w:val="40"/>
        </w:rPr>
        <w:t xml:space="preserve"> </w:t>
      </w:r>
      <w:r>
        <w:t>Se solicita ordenar al Grupo ICE continuar el suministro de servicios de CNFL y que adquiera la totalidad de acciones del actor conforme al precio que determine el Tribunal Fiscal Administrativo del Ministerio de Hacienda.</w:t>
      </w:r>
      <w:r>
        <w:rPr>
          <w:spacing w:val="40"/>
        </w:rPr>
        <w:t xml:space="preserve"> </w:t>
      </w:r>
      <w:r>
        <w:t>También, asumir todo el activo y pasivo de CNFL y ejecutar los pagos por costas procesales y personales. En marzo de 2022, el Grupo ICE fue notificado para audiencia preliminar a realizarse el 26 de abril de 2022. El importe de la cuantía estimada al 31 de diciembre de 2022 y de 2021 es de</w:t>
      </w:r>
    </w:p>
    <w:p w14:paraId="74344D9B" w14:textId="77777777" w:rsidR="00CC74F4" w:rsidRPr="00D45D17" w:rsidRDefault="00CC74F4" w:rsidP="00CC74F4">
      <w:pPr>
        <w:pStyle w:val="Textoindependiente"/>
        <w:ind w:left="821" w:right="104"/>
        <w:rPr>
          <w:rFonts w:ascii="Times New Roman" w:hAnsi="Times New Roman" w:cs="Times New Roman"/>
        </w:rPr>
      </w:pPr>
      <w:r w:rsidRPr="00D45D17">
        <w:rPr>
          <w:rFonts w:ascii="Times New Roman" w:hAnsi="Times New Roman" w:cs="Times New Roman"/>
        </w:rPr>
        <w:t>¢814</w:t>
      </w:r>
      <w:r w:rsidRPr="00D45D17">
        <w:rPr>
          <w:rFonts w:ascii="Times New Roman" w:hAnsi="Times New Roman" w:cs="Times New Roman"/>
          <w:spacing w:val="-2"/>
        </w:rPr>
        <w:t xml:space="preserve"> </w:t>
      </w:r>
      <w:r w:rsidRPr="00D45D17">
        <w:rPr>
          <w:rFonts w:ascii="Times New Roman" w:hAnsi="Times New Roman" w:cs="Times New Roman"/>
        </w:rPr>
        <w:t>y</w:t>
      </w:r>
      <w:r w:rsidRPr="00D45D17">
        <w:rPr>
          <w:rFonts w:ascii="Times New Roman" w:hAnsi="Times New Roman" w:cs="Times New Roman"/>
          <w:spacing w:val="-5"/>
        </w:rPr>
        <w:t xml:space="preserve"> </w:t>
      </w:r>
      <w:r w:rsidRPr="00D45D17">
        <w:rPr>
          <w:rFonts w:ascii="Times New Roman" w:hAnsi="Times New Roman" w:cs="Times New Roman"/>
        </w:rPr>
        <w:t>con</w:t>
      </w:r>
      <w:r w:rsidRPr="00D45D17">
        <w:rPr>
          <w:rFonts w:ascii="Times New Roman" w:hAnsi="Times New Roman" w:cs="Times New Roman"/>
          <w:spacing w:val="-2"/>
        </w:rPr>
        <w:t xml:space="preserve"> </w:t>
      </w:r>
      <w:r w:rsidRPr="00D45D17">
        <w:rPr>
          <w:rFonts w:ascii="Times New Roman" w:hAnsi="Times New Roman" w:cs="Times New Roman"/>
        </w:rPr>
        <w:t>base</w:t>
      </w:r>
      <w:r w:rsidRPr="00D45D17">
        <w:rPr>
          <w:rFonts w:ascii="Times New Roman" w:hAnsi="Times New Roman" w:cs="Times New Roman"/>
          <w:spacing w:val="-4"/>
        </w:rPr>
        <w:t xml:space="preserve"> </w:t>
      </w:r>
      <w:r w:rsidRPr="00D45D17">
        <w:rPr>
          <w:rFonts w:ascii="Times New Roman" w:hAnsi="Times New Roman" w:cs="Times New Roman"/>
        </w:rPr>
        <w:t>en</w:t>
      </w:r>
      <w:r w:rsidRPr="00D45D17">
        <w:rPr>
          <w:rFonts w:ascii="Times New Roman" w:hAnsi="Times New Roman" w:cs="Times New Roman"/>
          <w:spacing w:val="-4"/>
        </w:rPr>
        <w:t xml:space="preserve"> </w:t>
      </w:r>
      <w:r w:rsidRPr="00D45D17">
        <w:rPr>
          <w:rFonts w:ascii="Times New Roman" w:hAnsi="Times New Roman" w:cs="Times New Roman"/>
        </w:rPr>
        <w:t>el</w:t>
      </w:r>
      <w:r w:rsidRPr="00D45D17">
        <w:rPr>
          <w:rFonts w:ascii="Times New Roman" w:hAnsi="Times New Roman" w:cs="Times New Roman"/>
          <w:spacing w:val="-4"/>
        </w:rPr>
        <w:t xml:space="preserve"> </w:t>
      </w:r>
      <w:r w:rsidRPr="00D45D17">
        <w:rPr>
          <w:rFonts w:ascii="Times New Roman" w:hAnsi="Times New Roman" w:cs="Times New Roman"/>
        </w:rPr>
        <w:t>criterio</w:t>
      </w:r>
      <w:r w:rsidRPr="00D45D17">
        <w:rPr>
          <w:rFonts w:ascii="Times New Roman" w:hAnsi="Times New Roman" w:cs="Times New Roman"/>
          <w:spacing w:val="-2"/>
        </w:rPr>
        <w:t xml:space="preserve"> </w:t>
      </w:r>
      <w:r w:rsidRPr="00D45D17">
        <w:rPr>
          <w:rFonts w:ascii="Times New Roman" w:hAnsi="Times New Roman" w:cs="Times New Roman"/>
        </w:rPr>
        <w:t>del</w:t>
      </w:r>
      <w:r w:rsidRPr="00D45D17">
        <w:rPr>
          <w:rFonts w:ascii="Times New Roman" w:hAnsi="Times New Roman" w:cs="Times New Roman"/>
          <w:spacing w:val="-3"/>
        </w:rPr>
        <w:t xml:space="preserve"> </w:t>
      </w:r>
      <w:r w:rsidRPr="00D45D17">
        <w:rPr>
          <w:rFonts w:ascii="Times New Roman" w:hAnsi="Times New Roman" w:cs="Times New Roman"/>
        </w:rPr>
        <w:t>asesor</w:t>
      </w:r>
      <w:r w:rsidRPr="00D45D17">
        <w:rPr>
          <w:rFonts w:ascii="Times New Roman" w:hAnsi="Times New Roman" w:cs="Times New Roman"/>
          <w:spacing w:val="-4"/>
        </w:rPr>
        <w:t xml:space="preserve"> </w:t>
      </w:r>
      <w:r w:rsidRPr="00D45D17">
        <w:rPr>
          <w:rFonts w:ascii="Times New Roman" w:hAnsi="Times New Roman" w:cs="Times New Roman"/>
        </w:rPr>
        <w:t>legal</w:t>
      </w:r>
      <w:r w:rsidRPr="00D45D17">
        <w:rPr>
          <w:rFonts w:ascii="Times New Roman" w:hAnsi="Times New Roman" w:cs="Times New Roman"/>
          <w:spacing w:val="-3"/>
        </w:rPr>
        <w:t xml:space="preserve"> </w:t>
      </w:r>
      <w:r w:rsidRPr="00D45D17">
        <w:rPr>
          <w:rFonts w:ascii="Times New Roman" w:hAnsi="Times New Roman" w:cs="Times New Roman"/>
        </w:rPr>
        <w:t>no</w:t>
      </w:r>
      <w:r w:rsidRPr="00D45D17">
        <w:rPr>
          <w:rFonts w:ascii="Times New Roman" w:hAnsi="Times New Roman" w:cs="Times New Roman"/>
          <w:spacing w:val="-5"/>
        </w:rPr>
        <w:t xml:space="preserve"> </w:t>
      </w:r>
      <w:r w:rsidRPr="00D45D17">
        <w:rPr>
          <w:rFonts w:ascii="Times New Roman" w:hAnsi="Times New Roman" w:cs="Times New Roman"/>
        </w:rPr>
        <w:t>se</w:t>
      </w:r>
      <w:r w:rsidRPr="00D45D17">
        <w:rPr>
          <w:rFonts w:ascii="Times New Roman" w:hAnsi="Times New Roman" w:cs="Times New Roman"/>
          <w:spacing w:val="-4"/>
        </w:rPr>
        <w:t xml:space="preserve"> </w:t>
      </w:r>
      <w:r w:rsidRPr="00D45D17">
        <w:rPr>
          <w:rFonts w:ascii="Times New Roman" w:hAnsi="Times New Roman" w:cs="Times New Roman"/>
        </w:rPr>
        <w:t>considera</w:t>
      </w:r>
      <w:r w:rsidRPr="00D45D17">
        <w:rPr>
          <w:rFonts w:ascii="Times New Roman" w:hAnsi="Times New Roman" w:cs="Times New Roman"/>
          <w:spacing w:val="-4"/>
        </w:rPr>
        <w:t xml:space="preserve"> </w:t>
      </w:r>
      <w:r w:rsidRPr="00D45D17">
        <w:rPr>
          <w:rFonts w:ascii="Times New Roman" w:hAnsi="Times New Roman" w:cs="Times New Roman"/>
        </w:rPr>
        <w:t>probable</w:t>
      </w:r>
      <w:r w:rsidRPr="00D45D17">
        <w:rPr>
          <w:rFonts w:ascii="Times New Roman" w:hAnsi="Times New Roman" w:cs="Times New Roman"/>
          <w:spacing w:val="-4"/>
        </w:rPr>
        <w:t xml:space="preserve"> </w:t>
      </w:r>
      <w:r w:rsidRPr="00D45D17">
        <w:rPr>
          <w:rFonts w:ascii="Times New Roman" w:hAnsi="Times New Roman" w:cs="Times New Roman"/>
        </w:rPr>
        <w:t>una</w:t>
      </w:r>
      <w:r w:rsidRPr="00D45D17">
        <w:rPr>
          <w:rFonts w:ascii="Times New Roman" w:hAnsi="Times New Roman" w:cs="Times New Roman"/>
          <w:spacing w:val="-4"/>
        </w:rPr>
        <w:t xml:space="preserve"> </w:t>
      </w:r>
      <w:r w:rsidRPr="00D45D17">
        <w:rPr>
          <w:rFonts w:ascii="Times New Roman" w:hAnsi="Times New Roman" w:cs="Times New Roman"/>
        </w:rPr>
        <w:t>salida</w:t>
      </w:r>
      <w:r w:rsidRPr="00D45D17">
        <w:rPr>
          <w:rFonts w:ascii="Times New Roman" w:hAnsi="Times New Roman" w:cs="Times New Roman"/>
          <w:spacing w:val="-7"/>
        </w:rPr>
        <w:t xml:space="preserve"> </w:t>
      </w:r>
      <w:r w:rsidRPr="00D45D17">
        <w:rPr>
          <w:rFonts w:ascii="Times New Roman" w:hAnsi="Times New Roman" w:cs="Times New Roman"/>
        </w:rPr>
        <w:t>de</w:t>
      </w:r>
      <w:r w:rsidRPr="00D45D17">
        <w:rPr>
          <w:rFonts w:ascii="Times New Roman" w:hAnsi="Times New Roman" w:cs="Times New Roman"/>
          <w:spacing w:val="-4"/>
        </w:rPr>
        <w:t xml:space="preserve"> </w:t>
      </w:r>
      <w:r w:rsidRPr="00D45D17">
        <w:rPr>
          <w:rFonts w:ascii="Times New Roman" w:hAnsi="Times New Roman" w:cs="Times New Roman"/>
        </w:rPr>
        <w:t>recursos para hacer frente a este reclamo.</w:t>
      </w:r>
    </w:p>
    <w:p w14:paraId="15923922" w14:textId="77777777" w:rsidR="00CC74F4" w:rsidRDefault="00CC74F4" w:rsidP="00CC74F4">
      <w:pPr>
        <w:sectPr w:rsidR="00CC74F4">
          <w:headerReference w:type="default" r:id="rId27"/>
          <w:footerReference w:type="default" r:id="rId28"/>
          <w:pgSz w:w="12240" w:h="15840"/>
          <w:pgMar w:top="2180" w:right="1500" w:bottom="1200" w:left="1600" w:header="718" w:footer="1015" w:gutter="0"/>
          <w:cols w:space="720"/>
        </w:sectPr>
      </w:pPr>
    </w:p>
    <w:p w14:paraId="25A690B7" w14:textId="77777777" w:rsidR="00CC74F4" w:rsidRDefault="00CC74F4" w:rsidP="00CC74F4">
      <w:pPr>
        <w:pStyle w:val="Textoindependiente"/>
        <w:spacing w:before="4"/>
        <w:rPr>
          <w:sz w:val="12"/>
        </w:rPr>
      </w:pPr>
    </w:p>
    <w:p w14:paraId="020A7B46" w14:textId="77777777" w:rsidR="00CC74F4" w:rsidRDefault="00CC74F4" w:rsidP="00CC74F4">
      <w:pPr>
        <w:pStyle w:val="Prrafodelista"/>
        <w:widowControl w:val="0"/>
        <w:numPr>
          <w:ilvl w:val="0"/>
          <w:numId w:val="102"/>
        </w:numPr>
        <w:tabs>
          <w:tab w:val="left" w:pos="822"/>
        </w:tabs>
        <w:autoSpaceDE w:val="0"/>
        <w:autoSpaceDN w:val="0"/>
        <w:spacing w:before="92"/>
        <w:ind w:left="821" w:right="105"/>
        <w:jc w:val="both"/>
      </w:pPr>
      <w:r>
        <w:t>Demanda interpuesta por la empresa Mina Moncada, S.A., cuya pretensión obedece al reconocimiento de una pérdida en cuanto al valor y deterioro de los equipos por la falta de mantenimiento y continuidad del servicio de energía.</w:t>
      </w:r>
      <w:r>
        <w:rPr>
          <w:spacing w:val="-2"/>
        </w:rPr>
        <w:t xml:space="preserve"> </w:t>
      </w:r>
      <w:r>
        <w:t>El importe de la cuantía estimada al 31 de diciembre de 2022 es de ¢8.965 y con base en el criterio del asesor legal no se considera probable una salida de recursos para hacer frente a este reclamo.</w:t>
      </w:r>
    </w:p>
    <w:p w14:paraId="6727E825" w14:textId="77777777" w:rsidR="00CC74F4" w:rsidRDefault="00CC74F4" w:rsidP="00CC74F4">
      <w:pPr>
        <w:pStyle w:val="Textoindependiente"/>
        <w:spacing w:before="5"/>
        <w:rPr>
          <w:sz w:val="25"/>
        </w:rPr>
      </w:pPr>
    </w:p>
    <w:p w14:paraId="0101CABC" w14:textId="77777777" w:rsidR="00CC74F4" w:rsidRDefault="00CC74F4" w:rsidP="00CC74F4">
      <w:pPr>
        <w:pStyle w:val="Prrafodelista"/>
        <w:widowControl w:val="0"/>
        <w:numPr>
          <w:ilvl w:val="0"/>
          <w:numId w:val="102"/>
        </w:numPr>
        <w:tabs>
          <w:tab w:val="left" w:pos="822"/>
        </w:tabs>
        <w:autoSpaceDE w:val="0"/>
        <w:autoSpaceDN w:val="0"/>
        <w:ind w:left="821" w:right="104"/>
        <w:jc w:val="both"/>
      </w:pPr>
      <w:r>
        <w:t>Ghella Spa Costa Rica, S.A.: la demanda tiene por objeto la declaratoria de nulidad de las limitaciones impuestas en una Adenda del Contrato con CNFL para el diseño, construcción, equipamiento</w:t>
      </w:r>
      <w:r>
        <w:rPr>
          <w:spacing w:val="-1"/>
        </w:rPr>
        <w:t xml:space="preserve"> </w:t>
      </w:r>
      <w:r>
        <w:t>y puesta</w:t>
      </w:r>
      <w:r>
        <w:rPr>
          <w:spacing w:val="-1"/>
        </w:rPr>
        <w:t xml:space="preserve"> </w:t>
      </w:r>
      <w:r>
        <w:t>en</w:t>
      </w:r>
      <w:r>
        <w:rPr>
          <w:spacing w:val="-1"/>
        </w:rPr>
        <w:t xml:space="preserve"> </w:t>
      </w:r>
      <w:r>
        <w:t>operación</w:t>
      </w:r>
      <w:r>
        <w:rPr>
          <w:spacing w:val="-1"/>
        </w:rPr>
        <w:t xml:space="preserve"> </w:t>
      </w:r>
      <w:r>
        <w:t>del Proyecto Hidroeléctrico el Encanto. El</w:t>
      </w:r>
      <w:r>
        <w:rPr>
          <w:spacing w:val="-1"/>
        </w:rPr>
        <w:t xml:space="preserve"> </w:t>
      </w:r>
      <w:r>
        <w:t>importe</w:t>
      </w:r>
      <w:r>
        <w:rPr>
          <w:spacing w:val="-1"/>
        </w:rPr>
        <w:t xml:space="preserve"> </w:t>
      </w:r>
      <w:r>
        <w:t>de</w:t>
      </w:r>
      <w:r>
        <w:rPr>
          <w:spacing w:val="-1"/>
        </w:rPr>
        <w:t xml:space="preserve"> </w:t>
      </w:r>
      <w:r>
        <w:t>la cuantía estimada del proceso es de ¢21.515 y con base en el criterio del asesor legal no se considera probable una salida de recursos para hacer frente a este reclamo.</w:t>
      </w:r>
    </w:p>
    <w:p w14:paraId="3CCB3902" w14:textId="77777777" w:rsidR="00CC74F4" w:rsidRDefault="00CC74F4" w:rsidP="00CC74F4">
      <w:pPr>
        <w:pStyle w:val="Textoindependiente"/>
        <w:spacing w:before="3"/>
        <w:rPr>
          <w:sz w:val="25"/>
        </w:rPr>
      </w:pPr>
    </w:p>
    <w:p w14:paraId="5B56C9BC" w14:textId="77777777" w:rsidR="00CC74F4" w:rsidRDefault="00CC74F4" w:rsidP="00CC74F4">
      <w:pPr>
        <w:pStyle w:val="Prrafodelista"/>
        <w:widowControl w:val="0"/>
        <w:numPr>
          <w:ilvl w:val="0"/>
          <w:numId w:val="102"/>
        </w:numPr>
        <w:tabs>
          <w:tab w:val="left" w:pos="821"/>
          <w:tab w:val="left" w:pos="822"/>
        </w:tabs>
        <w:autoSpaceDE w:val="0"/>
        <w:autoSpaceDN w:val="0"/>
        <w:ind w:left="821" w:right="105"/>
        <w:jc w:val="both"/>
      </w:pPr>
      <w:r>
        <w:t>Instalaciones Inabensa, S.A.: es un proceso por el cobro de multas correspondientes a la ejecución del proyecto de electrificación subterránea San José con CNFL. La demandante pretende el cobro de reclamaciones y devolución de multas presentadas durante la etapa de ejecución</w:t>
      </w:r>
      <w:r>
        <w:rPr>
          <w:spacing w:val="-14"/>
        </w:rPr>
        <w:t xml:space="preserve"> </w:t>
      </w:r>
      <w:r>
        <w:t>del</w:t>
      </w:r>
      <w:r>
        <w:rPr>
          <w:spacing w:val="-14"/>
        </w:rPr>
        <w:t xml:space="preserve"> </w:t>
      </w:r>
      <w:r>
        <w:t>proyecto</w:t>
      </w:r>
      <w:r>
        <w:rPr>
          <w:spacing w:val="-14"/>
        </w:rPr>
        <w:t xml:space="preserve"> </w:t>
      </w:r>
      <w:r>
        <w:t>mencionado.</w:t>
      </w:r>
      <w:r>
        <w:rPr>
          <w:spacing w:val="-13"/>
        </w:rPr>
        <w:t xml:space="preserve"> </w:t>
      </w:r>
      <w:r>
        <w:t>El</w:t>
      </w:r>
      <w:r>
        <w:rPr>
          <w:spacing w:val="-14"/>
        </w:rPr>
        <w:t xml:space="preserve"> </w:t>
      </w:r>
      <w:r>
        <w:t>importe</w:t>
      </w:r>
      <w:r>
        <w:rPr>
          <w:spacing w:val="-14"/>
        </w:rPr>
        <w:t xml:space="preserve"> </w:t>
      </w:r>
      <w:r>
        <w:t>de</w:t>
      </w:r>
      <w:r>
        <w:rPr>
          <w:spacing w:val="-14"/>
        </w:rPr>
        <w:t xml:space="preserve"> </w:t>
      </w:r>
      <w:r>
        <w:t>la</w:t>
      </w:r>
      <w:r>
        <w:rPr>
          <w:spacing w:val="-13"/>
        </w:rPr>
        <w:t xml:space="preserve"> </w:t>
      </w:r>
      <w:r>
        <w:t>cuantía</w:t>
      </w:r>
      <w:r>
        <w:rPr>
          <w:spacing w:val="-14"/>
        </w:rPr>
        <w:t xml:space="preserve"> </w:t>
      </w:r>
      <w:r>
        <w:t>estimada</w:t>
      </w:r>
      <w:r>
        <w:rPr>
          <w:spacing w:val="-14"/>
        </w:rPr>
        <w:t xml:space="preserve"> </w:t>
      </w:r>
      <w:r>
        <w:t>del</w:t>
      </w:r>
      <w:r>
        <w:rPr>
          <w:spacing w:val="-14"/>
        </w:rPr>
        <w:t xml:space="preserve"> </w:t>
      </w:r>
      <w:r>
        <w:t>proceso</w:t>
      </w:r>
      <w:r>
        <w:rPr>
          <w:spacing w:val="-13"/>
        </w:rPr>
        <w:t xml:space="preserve"> </w:t>
      </w:r>
      <w:r>
        <w:t>es</w:t>
      </w:r>
      <w:r>
        <w:rPr>
          <w:spacing w:val="-14"/>
        </w:rPr>
        <w:t xml:space="preserve"> </w:t>
      </w:r>
      <w:r>
        <w:t>de</w:t>
      </w:r>
      <w:r>
        <w:rPr>
          <w:spacing w:val="-14"/>
        </w:rPr>
        <w:t xml:space="preserve"> </w:t>
      </w:r>
      <w:r>
        <w:t>¢5.974 y con base en el</w:t>
      </w:r>
      <w:r>
        <w:rPr>
          <w:spacing w:val="-1"/>
        </w:rPr>
        <w:t xml:space="preserve"> </w:t>
      </w:r>
      <w:r>
        <w:t>criterio del</w:t>
      </w:r>
      <w:r>
        <w:rPr>
          <w:spacing w:val="-1"/>
        </w:rPr>
        <w:t xml:space="preserve"> </w:t>
      </w:r>
      <w:r>
        <w:t>asesor</w:t>
      </w:r>
      <w:r>
        <w:rPr>
          <w:spacing w:val="-2"/>
        </w:rPr>
        <w:t xml:space="preserve"> </w:t>
      </w:r>
      <w:r>
        <w:t>legal no</w:t>
      </w:r>
      <w:r>
        <w:rPr>
          <w:spacing w:val="-2"/>
        </w:rPr>
        <w:t xml:space="preserve"> </w:t>
      </w:r>
      <w:r>
        <w:t>se considera probable una</w:t>
      </w:r>
      <w:r>
        <w:rPr>
          <w:spacing w:val="-2"/>
        </w:rPr>
        <w:t xml:space="preserve"> </w:t>
      </w:r>
      <w:r>
        <w:t>salida de</w:t>
      </w:r>
      <w:r>
        <w:rPr>
          <w:spacing w:val="-2"/>
        </w:rPr>
        <w:t xml:space="preserve"> </w:t>
      </w:r>
      <w:r>
        <w:t>recursos para hacer frente a este reclamo.</w:t>
      </w:r>
    </w:p>
    <w:p w14:paraId="2B860598" w14:textId="77777777" w:rsidR="00CC74F4" w:rsidRDefault="00CC74F4" w:rsidP="00CC74F4">
      <w:pPr>
        <w:pStyle w:val="Textoindependiente"/>
        <w:spacing w:before="4"/>
        <w:rPr>
          <w:sz w:val="25"/>
        </w:rPr>
      </w:pPr>
    </w:p>
    <w:p w14:paraId="4F9158F5" w14:textId="77777777" w:rsidR="00CC74F4" w:rsidRDefault="00CC74F4" w:rsidP="00CC74F4">
      <w:pPr>
        <w:pStyle w:val="Prrafodelista"/>
        <w:widowControl w:val="0"/>
        <w:numPr>
          <w:ilvl w:val="0"/>
          <w:numId w:val="102"/>
        </w:numPr>
        <w:tabs>
          <w:tab w:val="left" w:pos="821"/>
          <w:tab w:val="left" w:pos="822"/>
        </w:tabs>
        <w:autoSpaceDE w:val="0"/>
        <w:autoSpaceDN w:val="0"/>
        <w:spacing w:before="1"/>
        <w:ind w:left="821" w:right="105"/>
        <w:jc w:val="both"/>
      </w:pPr>
      <w:r>
        <w:t>El ICE también</w:t>
      </w:r>
      <w:r>
        <w:rPr>
          <w:spacing w:val="-2"/>
        </w:rPr>
        <w:t xml:space="preserve"> </w:t>
      </w:r>
      <w:r>
        <w:t>enfrenta</w:t>
      </w:r>
      <w:r>
        <w:rPr>
          <w:spacing w:val="-2"/>
        </w:rPr>
        <w:t xml:space="preserve"> </w:t>
      </w:r>
      <w:r>
        <w:t>otros procesos</w:t>
      </w:r>
      <w:r>
        <w:rPr>
          <w:spacing w:val="-1"/>
        </w:rPr>
        <w:t xml:space="preserve"> </w:t>
      </w:r>
      <w:r>
        <w:t>cuya</w:t>
      </w:r>
      <w:r>
        <w:rPr>
          <w:spacing w:val="-2"/>
        </w:rPr>
        <w:t xml:space="preserve"> </w:t>
      </w:r>
      <w:r>
        <w:t>cuantía</w:t>
      </w:r>
      <w:r>
        <w:rPr>
          <w:spacing w:val="-2"/>
        </w:rPr>
        <w:t xml:space="preserve"> </w:t>
      </w:r>
      <w:r>
        <w:t>se</w:t>
      </w:r>
      <w:r>
        <w:rPr>
          <w:spacing w:val="-2"/>
        </w:rPr>
        <w:t xml:space="preserve"> </w:t>
      </w:r>
      <w:r>
        <w:t>estima</w:t>
      </w:r>
      <w:r>
        <w:rPr>
          <w:spacing w:val="-2"/>
        </w:rPr>
        <w:t xml:space="preserve"> </w:t>
      </w:r>
      <w:r>
        <w:t>en un</w:t>
      </w:r>
      <w:r>
        <w:rPr>
          <w:spacing w:val="-2"/>
        </w:rPr>
        <w:t xml:space="preserve"> </w:t>
      </w:r>
      <w:r>
        <w:t>monto total de ¢8.486</w:t>
      </w:r>
      <w:r>
        <w:rPr>
          <w:spacing w:val="-2"/>
        </w:rPr>
        <w:t xml:space="preserve"> </w:t>
      </w:r>
      <w:r>
        <w:t>y que están asociados a ejecución de contratos, laborales y otros conceptos. A la fecha de este informe,</w:t>
      </w:r>
      <w:r>
        <w:rPr>
          <w:spacing w:val="-13"/>
        </w:rPr>
        <w:t xml:space="preserve"> </w:t>
      </w:r>
      <w:r>
        <w:t>con</w:t>
      </w:r>
      <w:r>
        <w:rPr>
          <w:spacing w:val="-12"/>
        </w:rPr>
        <w:t xml:space="preserve"> </w:t>
      </w:r>
      <w:r>
        <w:t>base</w:t>
      </w:r>
      <w:r>
        <w:rPr>
          <w:spacing w:val="-14"/>
        </w:rPr>
        <w:t xml:space="preserve"> </w:t>
      </w:r>
      <w:r>
        <w:t>en</w:t>
      </w:r>
      <w:r>
        <w:rPr>
          <w:spacing w:val="-14"/>
        </w:rPr>
        <w:t xml:space="preserve"> </w:t>
      </w:r>
      <w:r>
        <w:t>el</w:t>
      </w:r>
      <w:r>
        <w:rPr>
          <w:spacing w:val="-10"/>
        </w:rPr>
        <w:t xml:space="preserve"> </w:t>
      </w:r>
      <w:r>
        <w:t>criterio</w:t>
      </w:r>
      <w:r>
        <w:rPr>
          <w:spacing w:val="-14"/>
        </w:rPr>
        <w:t xml:space="preserve"> </w:t>
      </w:r>
      <w:r>
        <w:t>del</w:t>
      </w:r>
      <w:r>
        <w:rPr>
          <w:spacing w:val="-10"/>
        </w:rPr>
        <w:t xml:space="preserve"> </w:t>
      </w:r>
      <w:r>
        <w:t>asesor</w:t>
      </w:r>
      <w:r>
        <w:rPr>
          <w:spacing w:val="-14"/>
        </w:rPr>
        <w:t xml:space="preserve"> </w:t>
      </w:r>
      <w:r>
        <w:t>legal</w:t>
      </w:r>
      <w:r>
        <w:rPr>
          <w:spacing w:val="-13"/>
        </w:rPr>
        <w:t xml:space="preserve"> </w:t>
      </w:r>
      <w:r>
        <w:t>no</w:t>
      </w:r>
      <w:r>
        <w:rPr>
          <w:spacing w:val="-14"/>
        </w:rPr>
        <w:t xml:space="preserve"> </w:t>
      </w:r>
      <w:r>
        <w:t>se</w:t>
      </w:r>
      <w:r>
        <w:rPr>
          <w:spacing w:val="-14"/>
        </w:rPr>
        <w:t xml:space="preserve"> </w:t>
      </w:r>
      <w:r>
        <w:t>considera</w:t>
      </w:r>
      <w:r>
        <w:rPr>
          <w:spacing w:val="-13"/>
        </w:rPr>
        <w:t xml:space="preserve"> </w:t>
      </w:r>
      <w:r>
        <w:t>probable</w:t>
      </w:r>
      <w:r>
        <w:rPr>
          <w:spacing w:val="-14"/>
        </w:rPr>
        <w:t xml:space="preserve"> </w:t>
      </w:r>
      <w:r>
        <w:t>una</w:t>
      </w:r>
      <w:r>
        <w:rPr>
          <w:spacing w:val="-14"/>
        </w:rPr>
        <w:t xml:space="preserve"> </w:t>
      </w:r>
      <w:r>
        <w:t>salida</w:t>
      </w:r>
      <w:r>
        <w:rPr>
          <w:spacing w:val="-13"/>
        </w:rPr>
        <w:t xml:space="preserve"> </w:t>
      </w:r>
      <w:r>
        <w:t>de</w:t>
      </w:r>
      <w:r>
        <w:rPr>
          <w:spacing w:val="-12"/>
        </w:rPr>
        <w:t xml:space="preserve"> </w:t>
      </w:r>
      <w:r>
        <w:t>recursos para hacer frente a estos reclamos.</w:t>
      </w:r>
    </w:p>
    <w:p w14:paraId="160E8673" w14:textId="77777777" w:rsidR="00CC74F4" w:rsidRDefault="00CC74F4" w:rsidP="00CC74F4">
      <w:pPr>
        <w:pStyle w:val="Textoindependiente"/>
      </w:pPr>
    </w:p>
    <w:p w14:paraId="46489C47" w14:textId="77777777" w:rsidR="00CC74F4" w:rsidRPr="00D45D17" w:rsidRDefault="00CC74F4" w:rsidP="00CC74F4">
      <w:pPr>
        <w:pStyle w:val="Textoindependiente"/>
        <w:ind w:left="102"/>
        <w:rPr>
          <w:rFonts w:ascii="Times New Roman" w:hAnsi="Times New Roman" w:cs="Times New Roman"/>
        </w:rPr>
      </w:pPr>
      <w:r w:rsidRPr="00D45D17">
        <w:rPr>
          <w:rFonts w:ascii="Times New Roman" w:hAnsi="Times New Roman" w:cs="Times New Roman"/>
        </w:rPr>
        <w:t>Activos</w:t>
      </w:r>
      <w:r w:rsidRPr="00D45D17">
        <w:rPr>
          <w:rFonts w:ascii="Times New Roman" w:hAnsi="Times New Roman" w:cs="Times New Roman"/>
          <w:spacing w:val="-4"/>
        </w:rPr>
        <w:t xml:space="preserve"> </w:t>
      </w:r>
      <w:r w:rsidRPr="00D45D17">
        <w:rPr>
          <w:rFonts w:ascii="Times New Roman" w:hAnsi="Times New Roman" w:cs="Times New Roman"/>
          <w:spacing w:val="-2"/>
        </w:rPr>
        <w:t>contingentes</w:t>
      </w:r>
    </w:p>
    <w:p w14:paraId="6AA039F7" w14:textId="77777777" w:rsidR="00CC74F4" w:rsidRPr="00D45D17" w:rsidRDefault="00CC74F4" w:rsidP="00CC74F4">
      <w:pPr>
        <w:pStyle w:val="Textoindependiente"/>
        <w:rPr>
          <w:rFonts w:ascii="Times New Roman" w:hAnsi="Times New Roman" w:cs="Times New Roman"/>
        </w:rPr>
      </w:pPr>
    </w:p>
    <w:p w14:paraId="1FDCA155" w14:textId="77777777" w:rsidR="00CC74F4" w:rsidRPr="00D45D17" w:rsidRDefault="00CC74F4" w:rsidP="00CC74F4">
      <w:pPr>
        <w:pStyle w:val="Textoindependiente"/>
        <w:ind w:left="807" w:right="104" w:hanging="706"/>
        <w:rPr>
          <w:rFonts w:ascii="Times New Roman" w:hAnsi="Times New Roman" w:cs="Times New Roman"/>
        </w:rPr>
      </w:pPr>
      <w:r w:rsidRPr="00D45D17">
        <w:rPr>
          <w:rFonts w:ascii="Times New Roman" w:hAnsi="Times New Roman" w:cs="Times New Roman"/>
        </w:rPr>
        <w:t>Adicionalmente</w:t>
      </w:r>
      <w:r w:rsidRPr="00D45D17">
        <w:rPr>
          <w:rFonts w:ascii="Times New Roman" w:hAnsi="Times New Roman" w:cs="Times New Roman"/>
          <w:spacing w:val="-9"/>
        </w:rPr>
        <w:t xml:space="preserve"> </w:t>
      </w:r>
      <w:r w:rsidRPr="00D45D17">
        <w:rPr>
          <w:rFonts w:ascii="Times New Roman" w:hAnsi="Times New Roman" w:cs="Times New Roman"/>
        </w:rPr>
        <w:t>el</w:t>
      </w:r>
      <w:r w:rsidRPr="00D45D17">
        <w:rPr>
          <w:rFonts w:ascii="Times New Roman" w:hAnsi="Times New Roman" w:cs="Times New Roman"/>
          <w:spacing w:val="-9"/>
        </w:rPr>
        <w:t xml:space="preserve"> </w:t>
      </w:r>
      <w:r w:rsidRPr="00D45D17">
        <w:rPr>
          <w:rFonts w:ascii="Times New Roman" w:hAnsi="Times New Roman" w:cs="Times New Roman"/>
        </w:rPr>
        <w:t>Grupo</w:t>
      </w:r>
      <w:r w:rsidRPr="00D45D17">
        <w:rPr>
          <w:rFonts w:ascii="Times New Roman" w:hAnsi="Times New Roman" w:cs="Times New Roman"/>
          <w:spacing w:val="-12"/>
        </w:rPr>
        <w:t xml:space="preserve"> </w:t>
      </w:r>
      <w:r w:rsidRPr="00D45D17">
        <w:rPr>
          <w:rFonts w:ascii="Times New Roman" w:hAnsi="Times New Roman" w:cs="Times New Roman"/>
        </w:rPr>
        <w:t>ICE,</w:t>
      </w:r>
      <w:r w:rsidRPr="00D45D17">
        <w:rPr>
          <w:rFonts w:ascii="Times New Roman" w:hAnsi="Times New Roman" w:cs="Times New Roman"/>
          <w:spacing w:val="-10"/>
        </w:rPr>
        <w:t xml:space="preserve"> </w:t>
      </w:r>
      <w:r w:rsidRPr="00D45D17">
        <w:rPr>
          <w:rFonts w:ascii="Times New Roman" w:hAnsi="Times New Roman" w:cs="Times New Roman"/>
        </w:rPr>
        <w:t>ha</w:t>
      </w:r>
      <w:r w:rsidRPr="00D45D17">
        <w:rPr>
          <w:rFonts w:ascii="Times New Roman" w:hAnsi="Times New Roman" w:cs="Times New Roman"/>
          <w:spacing w:val="-12"/>
        </w:rPr>
        <w:t xml:space="preserve"> </w:t>
      </w:r>
      <w:r w:rsidRPr="00D45D17">
        <w:rPr>
          <w:rFonts w:ascii="Times New Roman" w:hAnsi="Times New Roman" w:cs="Times New Roman"/>
        </w:rPr>
        <w:t>presentado</w:t>
      </w:r>
      <w:r w:rsidRPr="00D45D17">
        <w:rPr>
          <w:rFonts w:ascii="Times New Roman" w:hAnsi="Times New Roman" w:cs="Times New Roman"/>
          <w:spacing w:val="-12"/>
        </w:rPr>
        <w:t xml:space="preserve"> </w:t>
      </w:r>
      <w:r w:rsidRPr="00D45D17">
        <w:rPr>
          <w:rFonts w:ascii="Times New Roman" w:hAnsi="Times New Roman" w:cs="Times New Roman"/>
        </w:rPr>
        <w:t>varias</w:t>
      </w:r>
      <w:r w:rsidRPr="00D45D17">
        <w:rPr>
          <w:rFonts w:ascii="Times New Roman" w:hAnsi="Times New Roman" w:cs="Times New Roman"/>
          <w:spacing w:val="-11"/>
        </w:rPr>
        <w:t xml:space="preserve"> </w:t>
      </w:r>
      <w:r w:rsidRPr="00D45D17">
        <w:rPr>
          <w:rFonts w:ascii="Times New Roman" w:hAnsi="Times New Roman" w:cs="Times New Roman"/>
        </w:rPr>
        <w:t>demandas</w:t>
      </w:r>
      <w:r w:rsidRPr="00D45D17">
        <w:rPr>
          <w:rFonts w:ascii="Times New Roman" w:hAnsi="Times New Roman" w:cs="Times New Roman"/>
          <w:spacing w:val="-11"/>
        </w:rPr>
        <w:t xml:space="preserve"> </w:t>
      </w:r>
      <w:r w:rsidRPr="00D45D17">
        <w:rPr>
          <w:rFonts w:ascii="Times New Roman" w:hAnsi="Times New Roman" w:cs="Times New Roman"/>
        </w:rPr>
        <w:t>por</w:t>
      </w:r>
      <w:r w:rsidRPr="00D45D17">
        <w:rPr>
          <w:rFonts w:ascii="Times New Roman" w:hAnsi="Times New Roman" w:cs="Times New Roman"/>
          <w:spacing w:val="-11"/>
        </w:rPr>
        <w:t xml:space="preserve"> </w:t>
      </w:r>
      <w:r w:rsidRPr="00D45D17">
        <w:rPr>
          <w:rFonts w:ascii="Times New Roman" w:hAnsi="Times New Roman" w:cs="Times New Roman"/>
        </w:rPr>
        <w:t>un</w:t>
      </w:r>
      <w:r w:rsidRPr="00D45D17">
        <w:rPr>
          <w:rFonts w:ascii="Times New Roman" w:hAnsi="Times New Roman" w:cs="Times New Roman"/>
          <w:spacing w:val="-12"/>
        </w:rPr>
        <w:t xml:space="preserve"> </w:t>
      </w:r>
      <w:r w:rsidRPr="00D45D17">
        <w:rPr>
          <w:rFonts w:ascii="Times New Roman" w:hAnsi="Times New Roman" w:cs="Times New Roman"/>
        </w:rPr>
        <w:t>monto</w:t>
      </w:r>
      <w:r w:rsidRPr="00D45D17">
        <w:rPr>
          <w:rFonts w:ascii="Times New Roman" w:hAnsi="Times New Roman" w:cs="Times New Roman"/>
          <w:spacing w:val="-11"/>
        </w:rPr>
        <w:t xml:space="preserve"> </w:t>
      </w:r>
      <w:r w:rsidRPr="00D45D17">
        <w:rPr>
          <w:rFonts w:ascii="Times New Roman" w:hAnsi="Times New Roman" w:cs="Times New Roman"/>
        </w:rPr>
        <w:t>total</w:t>
      </w:r>
      <w:r w:rsidRPr="00D45D17">
        <w:rPr>
          <w:rFonts w:ascii="Times New Roman" w:hAnsi="Times New Roman" w:cs="Times New Roman"/>
          <w:spacing w:val="-13"/>
        </w:rPr>
        <w:t xml:space="preserve"> </w:t>
      </w:r>
      <w:r w:rsidRPr="00D45D17">
        <w:rPr>
          <w:rFonts w:ascii="Times New Roman" w:hAnsi="Times New Roman" w:cs="Times New Roman"/>
        </w:rPr>
        <w:t>de</w:t>
      </w:r>
      <w:r w:rsidRPr="00D45D17">
        <w:rPr>
          <w:rFonts w:ascii="Times New Roman" w:hAnsi="Times New Roman" w:cs="Times New Roman"/>
          <w:spacing w:val="-9"/>
        </w:rPr>
        <w:t xml:space="preserve"> </w:t>
      </w:r>
      <w:r w:rsidRPr="00D45D17">
        <w:rPr>
          <w:rFonts w:ascii="Times New Roman" w:hAnsi="Times New Roman" w:cs="Times New Roman"/>
        </w:rPr>
        <w:t>¢9.987,</w:t>
      </w:r>
      <w:r w:rsidRPr="00D45D17">
        <w:rPr>
          <w:rFonts w:ascii="Times New Roman" w:hAnsi="Times New Roman" w:cs="Times New Roman"/>
          <w:spacing w:val="-12"/>
        </w:rPr>
        <w:t xml:space="preserve"> </w:t>
      </w:r>
      <w:r w:rsidRPr="00D45D17">
        <w:rPr>
          <w:rFonts w:ascii="Times New Roman" w:hAnsi="Times New Roman" w:cs="Times New Roman"/>
        </w:rPr>
        <w:t>las</w:t>
      </w:r>
      <w:r w:rsidRPr="00D45D17">
        <w:rPr>
          <w:rFonts w:ascii="Times New Roman" w:hAnsi="Times New Roman" w:cs="Times New Roman"/>
          <w:spacing w:val="-11"/>
        </w:rPr>
        <w:t xml:space="preserve"> </w:t>
      </w:r>
      <w:r w:rsidRPr="00D45D17">
        <w:rPr>
          <w:rFonts w:ascii="Times New Roman" w:hAnsi="Times New Roman" w:cs="Times New Roman"/>
        </w:rPr>
        <w:t>cuales se encuentran en diferentes etapas. Estas demandas en su mayoría están relacionadas con proveedores de bienes y servicios, sin embargo, por las características de estos activos, no se ha reconocido monto alguno en los estados financieros consolidados.</w:t>
      </w:r>
    </w:p>
    <w:p w14:paraId="1DA7F63D" w14:textId="77777777" w:rsidR="00384F14" w:rsidRPr="00BA08EC" w:rsidRDefault="00384F14" w:rsidP="0012196D">
      <w:pPr>
        <w:ind w:left="720" w:right="0" w:hanging="720"/>
        <w:rPr>
          <w:sz w:val="28"/>
          <w:lang w:val="es-CR"/>
        </w:rPr>
      </w:pPr>
      <w:bookmarkStart w:id="2090" w:name="_Toc481956917"/>
    </w:p>
    <w:bookmarkEnd w:id="2090"/>
    <w:p w14:paraId="30FFD74B" w14:textId="77777777" w:rsidR="00A65F5F" w:rsidRPr="00F549A0" w:rsidRDefault="00A65F5F" w:rsidP="00A65F5F">
      <w:pPr>
        <w:ind w:left="-284" w:right="-25"/>
        <w:rPr>
          <w:highlight w:val="yellow"/>
        </w:rPr>
      </w:pPr>
    </w:p>
    <w:p w14:paraId="61F31FCD" w14:textId="77777777" w:rsidR="00A65F5F" w:rsidRPr="00993AAA" w:rsidRDefault="00A65F5F" w:rsidP="00EF0D70">
      <w:pPr>
        <w:pStyle w:val="Ttulo2"/>
        <w:numPr>
          <w:ilvl w:val="0"/>
          <w:numId w:val="47"/>
        </w:numPr>
      </w:pPr>
      <w:bookmarkStart w:id="2091" w:name="_Toc304737226"/>
      <w:bookmarkStart w:id="2092" w:name="_Toc343676061"/>
      <w:bookmarkStart w:id="2093" w:name="_Toc358619424"/>
      <w:bookmarkStart w:id="2094" w:name="_Toc358620689"/>
      <w:bookmarkStart w:id="2095" w:name="_Toc358621896"/>
      <w:bookmarkStart w:id="2096" w:name="_Toc358622873"/>
      <w:bookmarkStart w:id="2097" w:name="_Toc26357162"/>
      <w:bookmarkStart w:id="2098" w:name="_Toc138664951"/>
      <w:r w:rsidRPr="00993AAA">
        <w:t>Visión General del Negocio</w:t>
      </w:r>
      <w:bookmarkStart w:id="2099" w:name="_Toc191377629"/>
      <w:bookmarkStart w:id="2100" w:name="_Toc192577376"/>
      <w:bookmarkStart w:id="2101" w:name="_Toc192591250"/>
      <w:bookmarkStart w:id="2102" w:name="_Toc192925758"/>
      <w:bookmarkStart w:id="2103" w:name="_Toc192925845"/>
      <w:bookmarkStart w:id="2104" w:name="_Toc192933500"/>
      <w:bookmarkStart w:id="2105" w:name="_Toc192933731"/>
      <w:bookmarkStart w:id="2106" w:name="_Toc193006312"/>
      <w:bookmarkStart w:id="2107" w:name="_Toc193006403"/>
      <w:bookmarkStart w:id="2108" w:name="_Toc193006493"/>
      <w:bookmarkStart w:id="2109" w:name="_Toc193006583"/>
      <w:bookmarkStart w:id="2110" w:name="_Toc193006673"/>
      <w:bookmarkStart w:id="2111" w:name="_Toc193006763"/>
      <w:bookmarkStart w:id="2112" w:name="_Toc193114055"/>
      <w:bookmarkStart w:id="2113" w:name="_Toc193185699"/>
      <w:bookmarkStart w:id="2114" w:name="_Toc193188586"/>
      <w:bookmarkStart w:id="2115" w:name="_Toc193200038"/>
      <w:bookmarkStart w:id="2116" w:name="_Toc197158900"/>
      <w:bookmarkStart w:id="2117" w:name="_Toc197160163"/>
      <w:bookmarkStart w:id="2118" w:name="_Toc197235628"/>
      <w:bookmarkStart w:id="2119" w:name="_Toc197235966"/>
      <w:bookmarkStart w:id="2120" w:name="_Toc199652847"/>
      <w:bookmarkStart w:id="2121" w:name="_Toc200335844"/>
      <w:bookmarkStart w:id="2122" w:name="_Toc206844802"/>
      <w:bookmarkStart w:id="2123" w:name="_Toc206905665"/>
      <w:bookmarkStart w:id="2124" w:name="_Toc207095774"/>
      <w:bookmarkStart w:id="2125" w:name="_Toc207098160"/>
      <w:bookmarkStart w:id="2126" w:name="_Toc207098353"/>
      <w:bookmarkStart w:id="2127" w:name="_Toc207098550"/>
      <w:bookmarkStart w:id="2128" w:name="_Toc207098650"/>
      <w:bookmarkStart w:id="2129" w:name="_Toc207098749"/>
      <w:bookmarkStart w:id="2130" w:name="_Toc207103410"/>
      <w:bookmarkStart w:id="2131" w:name="_Toc207178797"/>
      <w:bookmarkStart w:id="2132" w:name="_Toc208394677"/>
      <w:bookmarkStart w:id="2133" w:name="_Toc210618888"/>
      <w:bookmarkStart w:id="2134" w:name="_Toc210619170"/>
      <w:bookmarkStart w:id="2135" w:name="_Toc210619395"/>
      <w:bookmarkStart w:id="2136" w:name="_Toc210619903"/>
      <w:bookmarkStart w:id="2137" w:name="_Toc222025461"/>
      <w:bookmarkStart w:id="2138" w:name="_Toc222030397"/>
      <w:bookmarkStart w:id="2139" w:name="_Toc222135028"/>
      <w:bookmarkStart w:id="2140" w:name="_Toc222675449"/>
      <w:bookmarkStart w:id="2141" w:name="_Toc222828417"/>
      <w:bookmarkStart w:id="2142" w:name="_Toc222828514"/>
      <w:bookmarkStart w:id="2143" w:name="_Toc222887727"/>
      <w:bookmarkStart w:id="2144" w:name="_Toc222912193"/>
      <w:bookmarkStart w:id="2145" w:name="_Toc222915252"/>
      <w:bookmarkStart w:id="2146" w:name="_Toc222915346"/>
      <w:bookmarkStart w:id="2147" w:name="_Toc222919728"/>
      <w:bookmarkStart w:id="2148" w:name="_Toc222919822"/>
      <w:bookmarkStart w:id="2149" w:name="_Toc222919917"/>
      <w:bookmarkStart w:id="2150" w:name="_Toc222920220"/>
      <w:bookmarkStart w:id="2151" w:name="_Toc223164574"/>
      <w:bookmarkStart w:id="2152" w:name="_Toc223176007"/>
      <w:bookmarkStart w:id="2153" w:name="_Toc223337133"/>
      <w:bookmarkStart w:id="2154" w:name="_Toc223337226"/>
      <w:bookmarkStart w:id="2155" w:name="_Toc223342219"/>
      <w:bookmarkStart w:id="2156" w:name="_Toc223357584"/>
      <w:bookmarkStart w:id="2157" w:name="_Toc223357675"/>
      <w:bookmarkStart w:id="2158" w:name="_Toc223491449"/>
      <w:bookmarkStart w:id="2159" w:name="_Toc225051379"/>
      <w:bookmarkStart w:id="2160" w:name="_Toc225073469"/>
      <w:bookmarkStart w:id="2161" w:name="_Toc225078417"/>
      <w:bookmarkStart w:id="2162" w:name="_Toc225078508"/>
      <w:bookmarkStart w:id="2163" w:name="_Toc225079349"/>
      <w:bookmarkStart w:id="2164" w:name="_Toc225148975"/>
      <w:bookmarkStart w:id="2165" w:name="_Toc225149066"/>
      <w:bookmarkStart w:id="2166" w:name="_Toc225149157"/>
      <w:bookmarkStart w:id="2167" w:name="_Toc225154725"/>
      <w:bookmarkStart w:id="2168" w:name="_Toc225156239"/>
      <w:bookmarkStart w:id="2169" w:name="_Toc225160908"/>
      <w:bookmarkStart w:id="2170" w:name="_Toc225223148"/>
      <w:bookmarkStart w:id="2171" w:name="_Toc225241389"/>
      <w:bookmarkStart w:id="2172" w:name="_Toc225242774"/>
      <w:bookmarkStart w:id="2173" w:name="_Toc225242866"/>
      <w:bookmarkStart w:id="2174" w:name="_Toc225307372"/>
      <w:bookmarkStart w:id="2175" w:name="_Toc225307464"/>
      <w:bookmarkStart w:id="2176" w:name="_Toc225912368"/>
      <w:bookmarkStart w:id="2177" w:name="_Toc225912476"/>
      <w:bookmarkStart w:id="2178" w:name="_Toc225912568"/>
      <w:bookmarkStart w:id="2179" w:name="_Toc225912692"/>
      <w:bookmarkStart w:id="2180" w:name="_Toc225912784"/>
      <w:bookmarkStart w:id="2181" w:name="_Toc225912876"/>
      <w:bookmarkStart w:id="2182" w:name="_Toc225912968"/>
      <w:bookmarkStart w:id="2183" w:name="_Toc225913061"/>
      <w:bookmarkStart w:id="2184" w:name="_Toc225913226"/>
      <w:bookmarkStart w:id="2185" w:name="_Toc225913327"/>
      <w:bookmarkStart w:id="2186" w:name="_Toc225913547"/>
      <w:bookmarkStart w:id="2187" w:name="_Toc225913753"/>
      <w:bookmarkStart w:id="2188" w:name="_Toc225913849"/>
      <w:bookmarkStart w:id="2189" w:name="_Toc225913945"/>
      <w:bookmarkStart w:id="2190" w:name="_Toc225914041"/>
      <w:bookmarkStart w:id="2191" w:name="_Toc225914137"/>
      <w:bookmarkStart w:id="2192" w:name="_Toc225914264"/>
      <w:bookmarkStart w:id="2193" w:name="_Toc225914360"/>
      <w:bookmarkStart w:id="2194" w:name="_Toc225914634"/>
      <w:bookmarkStart w:id="2195" w:name="_Toc225914730"/>
      <w:bookmarkStart w:id="2196" w:name="_Toc225914827"/>
      <w:bookmarkStart w:id="2197" w:name="_Toc225914925"/>
      <w:bookmarkStart w:id="2198" w:name="_Toc225915022"/>
      <w:bookmarkStart w:id="2199" w:name="_Toc225915120"/>
      <w:bookmarkStart w:id="2200" w:name="_Toc225921488"/>
      <w:bookmarkStart w:id="2201" w:name="_Toc226779672"/>
      <w:bookmarkStart w:id="2202" w:name="_Toc226807244"/>
      <w:bookmarkStart w:id="2203" w:name="_Toc226807360"/>
      <w:bookmarkStart w:id="2204" w:name="_Toc226807474"/>
      <w:bookmarkStart w:id="2205" w:name="_Toc226807585"/>
      <w:bookmarkStart w:id="2206" w:name="_Toc226808472"/>
      <w:bookmarkStart w:id="2207" w:name="_Toc226808583"/>
      <w:bookmarkStart w:id="2208" w:name="_Toc226809096"/>
      <w:bookmarkStart w:id="2209" w:name="_Toc226809206"/>
      <w:bookmarkStart w:id="2210" w:name="_Toc226809317"/>
      <w:bookmarkStart w:id="2211" w:name="_Toc226809427"/>
      <w:bookmarkStart w:id="2212" w:name="_Toc226809537"/>
      <w:bookmarkStart w:id="2213" w:name="_Toc226809854"/>
      <w:bookmarkStart w:id="2214" w:name="_Toc226810101"/>
      <w:bookmarkStart w:id="2215" w:name="_Toc228013147"/>
      <w:bookmarkStart w:id="2216" w:name="_Toc228084841"/>
      <w:bookmarkStart w:id="2217" w:name="_Toc228087398"/>
      <w:bookmarkStart w:id="2218" w:name="_Toc228098637"/>
      <w:bookmarkStart w:id="2219" w:name="_Toc228696423"/>
      <w:bookmarkStart w:id="2220" w:name="_Toc229149184"/>
      <w:bookmarkStart w:id="2221" w:name="_Toc229149322"/>
      <w:bookmarkStart w:id="2222" w:name="_Toc229150140"/>
      <w:bookmarkStart w:id="2223" w:name="_Toc229150779"/>
      <w:bookmarkStart w:id="2224" w:name="_Toc231981223"/>
      <w:bookmarkStart w:id="2225" w:name="_Toc234672912"/>
      <w:bookmarkStart w:id="2226" w:name="_Toc234673022"/>
      <w:bookmarkStart w:id="2227" w:name="_Toc234673131"/>
      <w:bookmarkStart w:id="2228" w:name="_Toc234673240"/>
      <w:bookmarkStart w:id="2229" w:name="_Toc234673349"/>
      <w:bookmarkStart w:id="2230" w:name="_Toc234673568"/>
      <w:bookmarkStart w:id="2231" w:name="_Toc234673678"/>
      <w:bookmarkStart w:id="2232" w:name="_Toc234744094"/>
      <w:bookmarkStart w:id="2233" w:name="_Toc234744308"/>
      <w:bookmarkStart w:id="2234" w:name="_Toc234750738"/>
      <w:bookmarkStart w:id="2235" w:name="_Toc234750850"/>
      <w:bookmarkStart w:id="2236" w:name="_Toc234923942"/>
      <w:bookmarkStart w:id="2237" w:name="_Toc234925864"/>
      <w:bookmarkStart w:id="2238" w:name="_Toc235615297"/>
      <w:bookmarkStart w:id="2239" w:name="_Toc235616785"/>
      <w:bookmarkStart w:id="2240" w:name="_Toc235857033"/>
      <w:bookmarkStart w:id="2241" w:name="_Toc237334731"/>
      <w:bookmarkStart w:id="2242" w:name="_Toc237919684"/>
      <w:bookmarkStart w:id="2243" w:name="_Toc238276608"/>
      <w:bookmarkStart w:id="2244" w:name="_Toc238869551"/>
      <w:bookmarkStart w:id="2245" w:name="_Toc238873104"/>
      <w:bookmarkStart w:id="2246" w:name="_Toc238873477"/>
      <w:bookmarkStart w:id="2247" w:name="_Toc238877014"/>
      <w:bookmarkStart w:id="2248" w:name="_Toc240107383"/>
      <w:bookmarkStart w:id="2249" w:name="_Toc240159614"/>
      <w:bookmarkStart w:id="2250" w:name="_Toc240159766"/>
      <w:bookmarkStart w:id="2251" w:name="_Toc240255804"/>
      <w:bookmarkStart w:id="2252" w:name="_Toc240267708"/>
      <w:bookmarkStart w:id="2253" w:name="_Toc240267819"/>
      <w:bookmarkStart w:id="2254" w:name="_Toc240268212"/>
      <w:bookmarkStart w:id="2255" w:name="_Toc240268467"/>
      <w:bookmarkStart w:id="2256" w:name="_Toc240268580"/>
      <w:bookmarkStart w:id="2257" w:name="_Toc240268691"/>
      <w:bookmarkStart w:id="2258" w:name="_Toc240454282"/>
      <w:bookmarkStart w:id="2259" w:name="_Toc240697967"/>
      <w:bookmarkStart w:id="2260" w:name="_Toc258937769"/>
      <w:bookmarkStart w:id="2261" w:name="_Toc261418419"/>
      <w:bookmarkStart w:id="2262" w:name="_Toc261458603"/>
      <w:bookmarkStart w:id="2263" w:name="_Toc261458991"/>
      <w:bookmarkStart w:id="2264" w:name="_Toc262203313"/>
      <w:bookmarkStart w:id="2265" w:name="_Toc262218650"/>
      <w:bookmarkStart w:id="2266" w:name="_Toc262319106"/>
      <w:bookmarkStart w:id="2267" w:name="_Toc262459000"/>
      <w:bookmarkStart w:id="2268" w:name="_Toc262459854"/>
      <w:bookmarkStart w:id="2269" w:name="_Toc262460269"/>
      <w:bookmarkStart w:id="2270" w:name="_Toc262460396"/>
      <w:bookmarkStart w:id="2271" w:name="_Toc262460523"/>
      <w:bookmarkStart w:id="2272" w:name="_Toc262481019"/>
      <w:bookmarkStart w:id="2273" w:name="_Toc262483209"/>
      <w:bookmarkStart w:id="2274" w:name="_Toc262483344"/>
      <w:bookmarkStart w:id="2275" w:name="_Toc262483480"/>
      <w:bookmarkStart w:id="2276" w:name="_Toc262483616"/>
      <w:bookmarkStart w:id="2277" w:name="_Toc262483751"/>
      <w:bookmarkStart w:id="2278" w:name="_Toc262483886"/>
      <w:bookmarkStart w:id="2279" w:name="_Toc304736439"/>
      <w:bookmarkStart w:id="2280" w:name="_Toc304736673"/>
      <w:bookmarkStart w:id="2281" w:name="_Toc304736921"/>
      <w:bookmarkStart w:id="2282" w:name="_Toc304737227"/>
      <w:bookmarkStart w:id="2283" w:name="_Toc326700920"/>
      <w:bookmarkStart w:id="2284" w:name="_Toc326701558"/>
      <w:bookmarkStart w:id="2285" w:name="_Toc326730904"/>
      <w:bookmarkStart w:id="2286" w:name="_Toc326731090"/>
      <w:bookmarkStart w:id="2287" w:name="_Toc326731588"/>
      <w:bookmarkStart w:id="2288" w:name="_Toc326732500"/>
      <w:bookmarkStart w:id="2289" w:name="_Toc326734231"/>
      <w:bookmarkStart w:id="2290" w:name="_Toc326735180"/>
      <w:bookmarkStart w:id="2291" w:name="_Toc326735491"/>
      <w:bookmarkStart w:id="2292" w:name="_Toc343676062"/>
      <w:bookmarkStart w:id="2293" w:name="_Toc358619425"/>
      <w:bookmarkStart w:id="2294" w:name="_Toc358620690"/>
      <w:bookmarkStart w:id="2295" w:name="_Toc358621897"/>
      <w:bookmarkStart w:id="2296" w:name="_Toc358622874"/>
      <w:bookmarkStart w:id="2297" w:name="_Toc358623002"/>
      <w:bookmarkStart w:id="2298" w:name="_Toc390247932"/>
      <w:bookmarkStart w:id="2299" w:name="_Toc421258443"/>
      <w:bookmarkStart w:id="2300" w:name="_Toc421264511"/>
      <w:bookmarkStart w:id="2301" w:name="_Toc421264755"/>
      <w:bookmarkStart w:id="2302" w:name="_Toc421265070"/>
      <w:bookmarkStart w:id="2303" w:name="_Toc229150141"/>
      <w:bookmarkStart w:id="2304" w:name="_Toc229150780"/>
      <w:bookmarkStart w:id="2305" w:name="_Toc231981224"/>
      <w:bookmarkStart w:id="2306" w:name="_Toc234672913"/>
      <w:bookmarkStart w:id="2307" w:name="_Toc234673023"/>
      <w:bookmarkStart w:id="2308" w:name="_Toc234673132"/>
      <w:bookmarkStart w:id="2309" w:name="_Toc234673241"/>
      <w:bookmarkStart w:id="2310" w:name="_Toc234673350"/>
      <w:bookmarkStart w:id="2311" w:name="_Toc234673569"/>
      <w:bookmarkStart w:id="2312" w:name="_Toc234673679"/>
      <w:bookmarkStart w:id="2313" w:name="_Toc234744095"/>
      <w:bookmarkStart w:id="2314" w:name="_Toc234744309"/>
      <w:bookmarkStart w:id="2315" w:name="_Toc234750739"/>
      <w:bookmarkStart w:id="2316" w:name="_Toc234750851"/>
      <w:bookmarkStart w:id="2317" w:name="_Toc234923943"/>
      <w:bookmarkStart w:id="2318" w:name="_Toc234925865"/>
      <w:bookmarkStart w:id="2319" w:name="_Toc235615298"/>
      <w:bookmarkStart w:id="2320" w:name="_Toc235616786"/>
      <w:bookmarkStart w:id="2321" w:name="_Toc235857034"/>
      <w:bookmarkStart w:id="2322" w:name="_Toc237334732"/>
      <w:bookmarkStart w:id="2323" w:name="_Toc237919685"/>
      <w:bookmarkStart w:id="2324" w:name="_Toc238276609"/>
      <w:bookmarkStart w:id="2325" w:name="_Toc238869552"/>
      <w:bookmarkStart w:id="2326" w:name="_Toc238873105"/>
      <w:bookmarkStart w:id="2327" w:name="_Toc238873478"/>
      <w:bookmarkStart w:id="2328" w:name="_Toc238877015"/>
      <w:bookmarkStart w:id="2329" w:name="_Toc240107384"/>
      <w:bookmarkStart w:id="2330" w:name="_Toc240159615"/>
      <w:bookmarkStart w:id="2331" w:name="_Toc240159767"/>
      <w:bookmarkStart w:id="2332" w:name="_Toc240255805"/>
      <w:bookmarkStart w:id="2333" w:name="_Toc240267709"/>
      <w:bookmarkStart w:id="2334" w:name="_Toc240267820"/>
      <w:bookmarkStart w:id="2335" w:name="_Toc240268213"/>
      <w:bookmarkStart w:id="2336" w:name="_Toc240268468"/>
      <w:bookmarkStart w:id="2337" w:name="_Toc240268581"/>
      <w:bookmarkStart w:id="2338" w:name="_Toc240268692"/>
      <w:bookmarkStart w:id="2339" w:name="_Toc240454283"/>
      <w:bookmarkStart w:id="2340" w:name="_Toc240697968"/>
      <w:bookmarkStart w:id="2341" w:name="_Toc258937770"/>
      <w:bookmarkStart w:id="2342" w:name="_Toc261418420"/>
      <w:bookmarkStart w:id="2343" w:name="_Toc261458604"/>
      <w:bookmarkStart w:id="2344" w:name="_Toc261458992"/>
      <w:bookmarkStart w:id="2345" w:name="_Toc262203314"/>
      <w:bookmarkStart w:id="2346" w:name="_Toc262218651"/>
      <w:bookmarkStart w:id="2347" w:name="_Toc262319107"/>
      <w:bookmarkStart w:id="2348" w:name="_Toc262459001"/>
      <w:bookmarkStart w:id="2349" w:name="_Toc262459855"/>
      <w:bookmarkStart w:id="2350" w:name="_Toc262460270"/>
      <w:bookmarkStart w:id="2351" w:name="_Toc262460397"/>
      <w:bookmarkStart w:id="2352" w:name="_Toc262460524"/>
      <w:bookmarkStart w:id="2353" w:name="_Toc262481020"/>
      <w:bookmarkStart w:id="2354" w:name="_Toc262483210"/>
      <w:bookmarkStart w:id="2355" w:name="_Toc262483345"/>
      <w:bookmarkStart w:id="2356" w:name="_Toc262483481"/>
      <w:bookmarkStart w:id="2357" w:name="_Toc262483617"/>
      <w:bookmarkStart w:id="2358" w:name="_Toc262483752"/>
      <w:bookmarkStart w:id="2359" w:name="_Toc262483887"/>
      <w:bookmarkStart w:id="2360" w:name="_Toc304736440"/>
      <w:bookmarkStart w:id="2361" w:name="_Toc304736674"/>
      <w:bookmarkStart w:id="2362" w:name="_Toc304736922"/>
      <w:bookmarkStart w:id="2363" w:name="_Toc304737228"/>
      <w:bookmarkStart w:id="2364" w:name="_Toc326700921"/>
      <w:bookmarkStart w:id="2365" w:name="_Toc326701559"/>
      <w:bookmarkStart w:id="2366" w:name="_Toc326730905"/>
      <w:bookmarkStart w:id="2367" w:name="_Toc326731091"/>
      <w:bookmarkStart w:id="2368" w:name="_Toc326731589"/>
      <w:bookmarkStart w:id="2369" w:name="_Toc326732501"/>
      <w:bookmarkStart w:id="2370" w:name="_Toc326734232"/>
      <w:bookmarkStart w:id="2371" w:name="_Toc326735181"/>
      <w:bookmarkStart w:id="2372" w:name="_Toc326735492"/>
      <w:bookmarkStart w:id="2373" w:name="_Toc343676063"/>
      <w:bookmarkStart w:id="2374" w:name="_Toc358619426"/>
      <w:bookmarkStart w:id="2375" w:name="_Toc358620691"/>
      <w:bookmarkStart w:id="2376" w:name="_Toc358621898"/>
      <w:bookmarkStart w:id="2377" w:name="_Toc358622875"/>
      <w:bookmarkStart w:id="2378" w:name="_Toc358623003"/>
      <w:bookmarkStart w:id="2379" w:name="_Toc390247933"/>
      <w:bookmarkStart w:id="2380" w:name="_Toc421258444"/>
      <w:bookmarkStart w:id="2381" w:name="_Toc421264512"/>
      <w:bookmarkStart w:id="2382" w:name="_Toc421264756"/>
      <w:bookmarkStart w:id="2383" w:name="_Toc421265071"/>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14:paraId="4717E738" w14:textId="77777777" w:rsidR="00A65F5F" w:rsidRPr="006A4410" w:rsidRDefault="00A65F5F" w:rsidP="00A65F5F">
      <w:pPr>
        <w:rPr>
          <w:lang w:val="es-ES"/>
        </w:rPr>
      </w:pPr>
    </w:p>
    <w:p w14:paraId="7B0E30D2" w14:textId="77777777" w:rsidR="00A65F5F" w:rsidRPr="00BA5628" w:rsidRDefault="00A65F5F" w:rsidP="00A65F5F">
      <w:pPr>
        <w:pStyle w:val="Ttulo3"/>
        <w:rPr>
          <w:b/>
        </w:rPr>
      </w:pPr>
      <w:bookmarkStart w:id="2384" w:name="_Toc304737229"/>
      <w:bookmarkStart w:id="2385" w:name="_Toc343676064"/>
      <w:bookmarkStart w:id="2386" w:name="_Toc358619427"/>
      <w:bookmarkStart w:id="2387" w:name="_Toc358620692"/>
      <w:bookmarkStart w:id="2388" w:name="_Toc358621899"/>
      <w:bookmarkStart w:id="2389" w:name="_Toc358622876"/>
      <w:bookmarkStart w:id="2390" w:name="_Toc26357163"/>
      <w:bookmarkStart w:id="2391" w:name="_Toc138664952"/>
      <w:r w:rsidRPr="00B87A67">
        <w:t>4.1</w:t>
      </w:r>
      <w:r>
        <w:rPr>
          <w:b/>
        </w:rPr>
        <w:t xml:space="preserve"> </w:t>
      </w:r>
      <w:r w:rsidRPr="00BA5628">
        <w:rPr>
          <w:b/>
        </w:rPr>
        <w:t>Visión de la Institución</w:t>
      </w:r>
      <w:bookmarkEnd w:id="2384"/>
      <w:bookmarkEnd w:id="2385"/>
      <w:bookmarkEnd w:id="2386"/>
      <w:bookmarkEnd w:id="2387"/>
      <w:bookmarkEnd w:id="2388"/>
      <w:bookmarkEnd w:id="2389"/>
      <w:bookmarkEnd w:id="2390"/>
      <w:bookmarkEnd w:id="2391"/>
    </w:p>
    <w:p w14:paraId="6A73F48D" w14:textId="77777777" w:rsidR="00A65F5F" w:rsidRDefault="00A65F5F" w:rsidP="00A65F5F">
      <w:pPr>
        <w:ind w:left="-540" w:right="-25"/>
      </w:pPr>
    </w:p>
    <w:p w14:paraId="7D79C69F" w14:textId="77777777" w:rsidR="00A65F5F" w:rsidRPr="009F1A7E" w:rsidRDefault="00A65F5F" w:rsidP="00A65F5F">
      <w:pPr>
        <w:ind w:left="-540" w:right="-25"/>
      </w:pPr>
      <w:r w:rsidRPr="00980615">
        <w:t>“Empresa propiedad del Estado, competitiva, líder en el mercado de las telecomunicaciones, información e industria eléctrica con la mejor tecnología y recurso humano al servicio del cliente y la sociedad costarricense, que contribuya con el desarrollo económico, social y ambiental, promoviendo la universalidad del servicio en el ámbito nacional y el uso racional de los recursos naturales”.</w:t>
      </w:r>
    </w:p>
    <w:p w14:paraId="43C5B633" w14:textId="77777777" w:rsidR="00A65F5F" w:rsidRPr="00980615" w:rsidRDefault="00A65F5F" w:rsidP="00A65F5F">
      <w:pPr>
        <w:ind w:left="-540" w:right="-25"/>
      </w:pPr>
    </w:p>
    <w:p w14:paraId="12EBA6DC" w14:textId="77777777" w:rsidR="00A65F5F" w:rsidRPr="00BA5628" w:rsidRDefault="00A65F5F" w:rsidP="00A65F5F">
      <w:pPr>
        <w:pStyle w:val="Ttulo3"/>
        <w:rPr>
          <w:b/>
        </w:rPr>
      </w:pPr>
      <w:bookmarkStart w:id="2392" w:name="_Toc304737230"/>
      <w:bookmarkStart w:id="2393" w:name="_Toc343676065"/>
      <w:bookmarkStart w:id="2394" w:name="_Toc358619428"/>
      <w:bookmarkStart w:id="2395" w:name="_Toc358620693"/>
      <w:bookmarkStart w:id="2396" w:name="_Toc358621900"/>
      <w:bookmarkStart w:id="2397" w:name="_Toc358622877"/>
      <w:bookmarkStart w:id="2398" w:name="_Toc26357164"/>
      <w:bookmarkStart w:id="2399" w:name="_Toc138664953"/>
      <w:r w:rsidRPr="00B87A67">
        <w:t>4.2</w:t>
      </w:r>
      <w:r>
        <w:rPr>
          <w:b/>
        </w:rPr>
        <w:t xml:space="preserve"> </w:t>
      </w:r>
      <w:r w:rsidRPr="00BA5628">
        <w:rPr>
          <w:b/>
        </w:rPr>
        <w:t>Misión de la Institución</w:t>
      </w:r>
      <w:bookmarkEnd w:id="2392"/>
      <w:bookmarkEnd w:id="2393"/>
      <w:bookmarkEnd w:id="2394"/>
      <w:bookmarkEnd w:id="2395"/>
      <w:bookmarkEnd w:id="2396"/>
      <w:bookmarkEnd w:id="2397"/>
      <w:bookmarkEnd w:id="2398"/>
      <w:bookmarkEnd w:id="2399"/>
      <w:r w:rsidRPr="00BA5628">
        <w:rPr>
          <w:b/>
        </w:rPr>
        <w:t xml:space="preserve"> </w:t>
      </w:r>
    </w:p>
    <w:p w14:paraId="756D01B6" w14:textId="77777777" w:rsidR="00A65F5F" w:rsidRDefault="00A65F5F" w:rsidP="00A65F5F">
      <w:pPr>
        <w:ind w:left="-540" w:right="-25"/>
      </w:pPr>
    </w:p>
    <w:p w14:paraId="71E7A15E" w14:textId="77777777" w:rsidR="00A65F5F" w:rsidRPr="00980615" w:rsidRDefault="00A65F5F" w:rsidP="00A65F5F">
      <w:pPr>
        <w:ind w:left="-540" w:right="-25"/>
      </w:pPr>
      <w:r w:rsidRPr="00980615">
        <w:t>"Servir a los mercados de la industria eléctrica y de las telecomunicaciones e información, con niveles de competitividad internacional, a través de un enfoque de multiservicios y aplicaciones, para satisfacer las crecientes y variadas necesidades de los clientes, manteniendo una posición de liderazgo en los nuevos segmentos de estas industrias y segmentos asociados, de acuerdo con el marco jurídico vigente”.</w:t>
      </w:r>
    </w:p>
    <w:p w14:paraId="5E2695E6" w14:textId="77777777" w:rsidR="00A65F5F" w:rsidRPr="009F1A7E" w:rsidRDefault="00A65F5F" w:rsidP="00A65F5F">
      <w:pPr>
        <w:ind w:left="-540" w:right="-25"/>
      </w:pPr>
    </w:p>
    <w:p w14:paraId="0951710C" w14:textId="77777777" w:rsidR="00A65F5F" w:rsidRDefault="00A65F5F" w:rsidP="00EF0D70">
      <w:pPr>
        <w:pStyle w:val="Ttulo2"/>
        <w:numPr>
          <w:ilvl w:val="1"/>
          <w:numId w:val="53"/>
        </w:numPr>
      </w:pPr>
      <w:bookmarkStart w:id="2400" w:name="_Toc304737231"/>
      <w:bookmarkStart w:id="2401" w:name="_Toc343676066"/>
      <w:bookmarkStart w:id="2402" w:name="_Toc358619429"/>
      <w:bookmarkStart w:id="2403" w:name="_Toc358620694"/>
      <w:bookmarkStart w:id="2404" w:name="_Toc358621901"/>
      <w:bookmarkStart w:id="2405" w:name="_Toc358622878"/>
      <w:bookmarkStart w:id="2406" w:name="_Toc26357165"/>
      <w:bookmarkStart w:id="2407" w:name="_Toc138664954"/>
      <w:r w:rsidRPr="00A0141C">
        <w:t>Composición de la Estructura Corporativa del ICE.</w:t>
      </w:r>
      <w:bookmarkEnd w:id="2400"/>
      <w:bookmarkEnd w:id="2401"/>
      <w:bookmarkEnd w:id="2402"/>
      <w:bookmarkEnd w:id="2403"/>
      <w:bookmarkEnd w:id="2404"/>
      <w:bookmarkEnd w:id="2405"/>
      <w:bookmarkEnd w:id="2406"/>
      <w:bookmarkEnd w:id="2407"/>
    </w:p>
    <w:p w14:paraId="42C2D4FB" w14:textId="77777777" w:rsidR="00BB6C29" w:rsidRPr="00BB6C29" w:rsidRDefault="00BB6C29" w:rsidP="00BB6C29">
      <w:pPr>
        <w:rPr>
          <w:lang w:val="es-ES"/>
        </w:rPr>
      </w:pPr>
    </w:p>
    <w:p w14:paraId="146AA0B2" w14:textId="77777777" w:rsidR="00A65F5F" w:rsidRDefault="00A65F5F" w:rsidP="00A65F5F"/>
    <w:tbl>
      <w:tblPr>
        <w:tblStyle w:val="Tablaconcuadrcula"/>
        <w:tblW w:w="0" w:type="auto"/>
        <w:tblLook w:val="04A0" w:firstRow="1" w:lastRow="0" w:firstColumn="1" w:lastColumn="0" w:noHBand="0" w:noVBand="1"/>
      </w:tblPr>
      <w:tblGrid>
        <w:gridCol w:w="4743"/>
        <w:gridCol w:w="4744"/>
      </w:tblGrid>
      <w:tr w:rsidR="00995E70" w14:paraId="216FD993" w14:textId="77777777" w:rsidTr="00995E70">
        <w:tc>
          <w:tcPr>
            <w:tcW w:w="9487" w:type="dxa"/>
            <w:gridSpan w:val="2"/>
          </w:tcPr>
          <w:p w14:paraId="749C0B71" w14:textId="48A57DC1" w:rsidR="00995E70" w:rsidRDefault="00995E70" w:rsidP="00A65F5F">
            <w:r>
              <w:t>Empresas que conforman el Grupo ICE, con operación al 202</w:t>
            </w:r>
            <w:r w:rsidR="00BB6C29">
              <w:t>2</w:t>
            </w:r>
          </w:p>
        </w:tc>
      </w:tr>
      <w:tr w:rsidR="00995E70" w14:paraId="5D3450F5" w14:textId="77777777" w:rsidTr="00995E70">
        <w:tc>
          <w:tcPr>
            <w:tcW w:w="9487" w:type="dxa"/>
            <w:gridSpan w:val="2"/>
          </w:tcPr>
          <w:p w14:paraId="5AFAA90D" w14:textId="3AAD115F" w:rsidR="00995E70" w:rsidRDefault="00995E70" w:rsidP="00995E70">
            <w:pPr>
              <w:pStyle w:val="Prrafodelista"/>
              <w:numPr>
                <w:ilvl w:val="0"/>
                <w:numId w:val="99"/>
              </w:numPr>
            </w:pPr>
            <w:r>
              <w:t>Compañía Nacional de Fuerza y Luz S.A.</w:t>
            </w:r>
          </w:p>
        </w:tc>
      </w:tr>
      <w:tr w:rsidR="00995E70" w14:paraId="54161720" w14:textId="77777777" w:rsidTr="00995E70">
        <w:tc>
          <w:tcPr>
            <w:tcW w:w="9487" w:type="dxa"/>
            <w:gridSpan w:val="2"/>
          </w:tcPr>
          <w:p w14:paraId="3B129CCC" w14:textId="4DBD4B4D" w:rsidR="00995E70" w:rsidRDefault="00995E70" w:rsidP="00995E70">
            <w:pPr>
              <w:pStyle w:val="Prrafodelista"/>
              <w:numPr>
                <w:ilvl w:val="0"/>
                <w:numId w:val="99"/>
              </w:numPr>
            </w:pPr>
            <w:r>
              <w:t>Radiográfica Costarricense S.A.</w:t>
            </w:r>
          </w:p>
        </w:tc>
      </w:tr>
      <w:tr w:rsidR="00995E70" w14:paraId="0B2234E0" w14:textId="77777777" w:rsidTr="00995E70">
        <w:tc>
          <w:tcPr>
            <w:tcW w:w="9487" w:type="dxa"/>
            <w:gridSpan w:val="2"/>
          </w:tcPr>
          <w:p w14:paraId="6E81F85F" w14:textId="19FB6662" w:rsidR="00995E70" w:rsidRDefault="00995E70" w:rsidP="00995E70">
            <w:pPr>
              <w:pStyle w:val="Prrafodelista"/>
              <w:numPr>
                <w:ilvl w:val="0"/>
                <w:numId w:val="99"/>
              </w:numPr>
            </w:pPr>
            <w:r>
              <w:t>Gestión Cobro Grupo ICE S.A.</w:t>
            </w:r>
          </w:p>
        </w:tc>
      </w:tr>
      <w:tr w:rsidR="00995E70" w14:paraId="20FD1FC5" w14:textId="77777777" w:rsidTr="00995E70">
        <w:tc>
          <w:tcPr>
            <w:tcW w:w="9487" w:type="dxa"/>
            <w:gridSpan w:val="2"/>
          </w:tcPr>
          <w:p w14:paraId="3A531944" w14:textId="1A27C747" w:rsidR="00995E70" w:rsidRDefault="00995E70" w:rsidP="00A65F5F">
            <w:r>
              <w:t>Participación accionaria del Grupo ICE en las empresas</w:t>
            </w:r>
          </w:p>
        </w:tc>
      </w:tr>
      <w:tr w:rsidR="00995E70" w14:paraId="27642DAF" w14:textId="77777777" w:rsidTr="001D447F">
        <w:tc>
          <w:tcPr>
            <w:tcW w:w="4743" w:type="dxa"/>
          </w:tcPr>
          <w:p w14:paraId="22DFFB4A" w14:textId="2E16E7FD" w:rsidR="00995E70" w:rsidRDefault="00995E70" w:rsidP="00A65F5F">
            <w:r>
              <w:t>Nombre de la empresa</w:t>
            </w:r>
          </w:p>
        </w:tc>
        <w:tc>
          <w:tcPr>
            <w:tcW w:w="4744" w:type="dxa"/>
          </w:tcPr>
          <w:p w14:paraId="29B888C8" w14:textId="0E0C94FB" w:rsidR="00995E70" w:rsidRDefault="00995E70" w:rsidP="00A65F5F">
            <w:r>
              <w:t>Participación accionaria</w:t>
            </w:r>
          </w:p>
        </w:tc>
      </w:tr>
      <w:tr w:rsidR="00995E70" w14:paraId="396E8249" w14:textId="77777777" w:rsidTr="001D447F">
        <w:tc>
          <w:tcPr>
            <w:tcW w:w="4743" w:type="dxa"/>
          </w:tcPr>
          <w:p w14:paraId="38212E71" w14:textId="5D56CE56" w:rsidR="00995E70" w:rsidRDefault="00995E70" w:rsidP="00A65F5F">
            <w:r>
              <w:t>Compañía Nacional de Fuerza y Luz S.A.</w:t>
            </w:r>
          </w:p>
        </w:tc>
        <w:tc>
          <w:tcPr>
            <w:tcW w:w="4744" w:type="dxa"/>
          </w:tcPr>
          <w:p w14:paraId="493961EC" w14:textId="42DBD630" w:rsidR="00995E70" w:rsidRDefault="00995E70" w:rsidP="00A65F5F">
            <w:r>
              <w:t>100%</w:t>
            </w:r>
          </w:p>
        </w:tc>
      </w:tr>
      <w:tr w:rsidR="00995E70" w14:paraId="26A14D49" w14:textId="77777777" w:rsidTr="001D447F">
        <w:tc>
          <w:tcPr>
            <w:tcW w:w="4743" w:type="dxa"/>
          </w:tcPr>
          <w:p w14:paraId="75F392F9" w14:textId="7F244BA6" w:rsidR="00995E70" w:rsidRDefault="00995E70" w:rsidP="00A65F5F">
            <w:r>
              <w:t>Radiográfica Costarricense S.A.</w:t>
            </w:r>
          </w:p>
        </w:tc>
        <w:tc>
          <w:tcPr>
            <w:tcW w:w="4744" w:type="dxa"/>
          </w:tcPr>
          <w:p w14:paraId="5F890568" w14:textId="17ABEFE3" w:rsidR="00995E70" w:rsidRDefault="00995E70" w:rsidP="00A65F5F">
            <w:r>
              <w:t>98.60%</w:t>
            </w:r>
          </w:p>
        </w:tc>
      </w:tr>
      <w:tr w:rsidR="00995E70" w14:paraId="2E2AECCA" w14:textId="77777777" w:rsidTr="001D447F">
        <w:tc>
          <w:tcPr>
            <w:tcW w:w="4743" w:type="dxa"/>
          </w:tcPr>
          <w:p w14:paraId="77993C58" w14:textId="61A0C82E" w:rsidR="00995E70" w:rsidRDefault="00995E70" w:rsidP="00A65F5F">
            <w:r>
              <w:t>Gestión Cobro Grupo ICE S.A.</w:t>
            </w:r>
          </w:p>
        </w:tc>
        <w:tc>
          <w:tcPr>
            <w:tcW w:w="4744" w:type="dxa"/>
          </w:tcPr>
          <w:p w14:paraId="05E14544" w14:textId="66730C32" w:rsidR="00995E70" w:rsidRDefault="00995E70" w:rsidP="00A65F5F">
            <w:r>
              <w:t>100%</w:t>
            </w:r>
          </w:p>
        </w:tc>
      </w:tr>
      <w:tr w:rsidR="00995E70" w14:paraId="0CACFFBA" w14:textId="77777777" w:rsidTr="001D447F">
        <w:tc>
          <w:tcPr>
            <w:tcW w:w="4743" w:type="dxa"/>
          </w:tcPr>
          <w:p w14:paraId="79E337E8" w14:textId="7A7F1431" w:rsidR="00995E70" w:rsidRDefault="00995E70" w:rsidP="00A65F5F">
            <w:r>
              <w:t>Compañía Radiográfica Internacional Costarricense</w:t>
            </w:r>
          </w:p>
        </w:tc>
        <w:tc>
          <w:tcPr>
            <w:tcW w:w="4744" w:type="dxa"/>
          </w:tcPr>
          <w:p w14:paraId="1CE4B2D3" w14:textId="358C7DC9" w:rsidR="00995E70" w:rsidRDefault="00995E70" w:rsidP="00A65F5F">
            <w:r>
              <w:t>100%</w:t>
            </w:r>
          </w:p>
        </w:tc>
      </w:tr>
      <w:tr w:rsidR="00995E70" w14:paraId="4408ED8F" w14:textId="77777777" w:rsidTr="001D447F">
        <w:tc>
          <w:tcPr>
            <w:tcW w:w="4743" w:type="dxa"/>
          </w:tcPr>
          <w:p w14:paraId="4F52CD46" w14:textId="1D6078D5" w:rsidR="00995E70" w:rsidRDefault="00995E70" w:rsidP="00A65F5F">
            <w:r>
              <w:t>Empresa Propietaria de la Red</w:t>
            </w:r>
          </w:p>
        </w:tc>
        <w:tc>
          <w:tcPr>
            <w:tcW w:w="4744" w:type="dxa"/>
          </w:tcPr>
          <w:p w14:paraId="3699C435" w14:textId="7D5F255C" w:rsidR="00995E70" w:rsidRDefault="00452FF0" w:rsidP="00A65F5F">
            <w:r>
              <w:t>10.36% ICE y 0.75% CNFL</w:t>
            </w:r>
          </w:p>
        </w:tc>
      </w:tr>
      <w:tr w:rsidR="00995E70" w14:paraId="48B15895" w14:textId="77777777" w:rsidTr="001D447F">
        <w:tc>
          <w:tcPr>
            <w:tcW w:w="4743" w:type="dxa"/>
          </w:tcPr>
          <w:p w14:paraId="3C083509" w14:textId="70F658F7" w:rsidR="00995E70" w:rsidRDefault="00995E70" w:rsidP="00A65F5F">
            <w:r>
              <w:t>Red Centroamericana de Telecomunicaciones</w:t>
            </w:r>
          </w:p>
        </w:tc>
        <w:tc>
          <w:tcPr>
            <w:tcW w:w="4744" w:type="dxa"/>
          </w:tcPr>
          <w:p w14:paraId="21E77CF4" w14:textId="453EF2A6" w:rsidR="00995E70" w:rsidRDefault="00452FF0" w:rsidP="00A65F5F">
            <w:r>
              <w:t>10.36% ICE y 0.75% CNFL</w:t>
            </w:r>
          </w:p>
        </w:tc>
      </w:tr>
      <w:tr w:rsidR="00995E70" w14:paraId="3D8F177D" w14:textId="77777777" w:rsidTr="001D447F">
        <w:tc>
          <w:tcPr>
            <w:tcW w:w="4743" w:type="dxa"/>
          </w:tcPr>
          <w:p w14:paraId="7D3CA013" w14:textId="61ADEDA1" w:rsidR="00995E70" w:rsidRDefault="00995E70" w:rsidP="00A65F5F">
            <w:r>
              <w:t>Telecomunicaciones de América TECOMUNICA</w:t>
            </w:r>
          </w:p>
        </w:tc>
        <w:tc>
          <w:tcPr>
            <w:tcW w:w="4744" w:type="dxa"/>
          </w:tcPr>
          <w:p w14:paraId="19D5E3C1" w14:textId="584D1AEF" w:rsidR="00995E70" w:rsidRDefault="00452FF0" w:rsidP="00A65F5F">
            <w:r>
              <w:t>50%</w:t>
            </w:r>
          </w:p>
        </w:tc>
      </w:tr>
    </w:tbl>
    <w:p w14:paraId="59A37D24" w14:textId="77777777" w:rsidR="00A65F5F" w:rsidRPr="00645194" w:rsidRDefault="00A65F5F" w:rsidP="00A65F5F"/>
    <w:p w14:paraId="00AA3184" w14:textId="77777777" w:rsidR="00A65F5F" w:rsidRPr="00670E95" w:rsidRDefault="00A65F5F" w:rsidP="00A65F5F">
      <w:pPr>
        <w:jc w:val="center"/>
      </w:pPr>
    </w:p>
    <w:p w14:paraId="1C3A5445" w14:textId="77777777" w:rsidR="00A65F5F" w:rsidRDefault="00A65F5F" w:rsidP="00A65F5F">
      <w:pPr>
        <w:ind w:left="-567"/>
      </w:pPr>
      <w:r>
        <w:t>El Instituto Costarricense de Electricidad es una entidad autónoma, en donde el Estado costarricense es el propietario único y directo.</w:t>
      </w:r>
    </w:p>
    <w:p w14:paraId="04BFA134" w14:textId="77777777" w:rsidR="00812EA0" w:rsidRDefault="00812EA0" w:rsidP="00A65F5F">
      <w:pPr>
        <w:ind w:left="-567"/>
      </w:pPr>
    </w:p>
    <w:p w14:paraId="516351EF" w14:textId="77777777" w:rsidR="00A65F5F" w:rsidRDefault="00A65F5F" w:rsidP="00A65F5F"/>
    <w:p w14:paraId="6A4B1CFB" w14:textId="77777777" w:rsidR="00A65F5F" w:rsidRPr="0007743D" w:rsidRDefault="00A65F5F" w:rsidP="00A65F5F">
      <w:pPr>
        <w:ind w:left="-567"/>
        <w:rPr>
          <w:b/>
        </w:rPr>
      </w:pPr>
      <w:r w:rsidRPr="0007743D">
        <w:rPr>
          <w:b/>
        </w:rPr>
        <w:t>Compañía Nacional de Fuerza y Luz</w:t>
      </w:r>
    </w:p>
    <w:p w14:paraId="5EA3BD3F" w14:textId="77777777" w:rsidR="00A65F5F" w:rsidRDefault="00A65F5F" w:rsidP="00A65F5F">
      <w:pPr>
        <w:ind w:left="-567"/>
      </w:pPr>
    </w:p>
    <w:p w14:paraId="4AA00196" w14:textId="77777777" w:rsidR="00A65F5F" w:rsidRDefault="00A65F5F" w:rsidP="00A65F5F">
      <w:pPr>
        <w:ind w:left="-567"/>
      </w:pPr>
      <w:r>
        <w:t>Compañía Nacional de Fuerza y Luz, S.A. (CNFL) es una sociedad anónima constituida el 6 de abril de 1941 y subsidiaria del Instituto (98.6% de participación). Sus objetivos son el desarrollo de nuevas fuentes de energía y el mejoramiento y extensión de la distribución de energía eléctrica en Costa Rica.</w:t>
      </w:r>
    </w:p>
    <w:p w14:paraId="68CCF340" w14:textId="77777777" w:rsidR="00FD1A72" w:rsidRDefault="00FD1A72" w:rsidP="00A65F5F">
      <w:pPr>
        <w:ind w:left="-567"/>
        <w:rPr>
          <w:b/>
        </w:rPr>
      </w:pPr>
    </w:p>
    <w:p w14:paraId="66598FB6" w14:textId="77777777" w:rsidR="00FD1A72" w:rsidRDefault="00FD1A72" w:rsidP="00A65F5F">
      <w:pPr>
        <w:ind w:left="-567"/>
        <w:rPr>
          <w:b/>
        </w:rPr>
      </w:pPr>
    </w:p>
    <w:p w14:paraId="2F03C1B0" w14:textId="4A70D99F" w:rsidR="00A65F5F" w:rsidRPr="0007743D" w:rsidRDefault="00A65F5F" w:rsidP="00A65F5F">
      <w:pPr>
        <w:ind w:left="-567"/>
        <w:rPr>
          <w:b/>
        </w:rPr>
      </w:pPr>
      <w:r w:rsidRPr="0007743D">
        <w:rPr>
          <w:b/>
        </w:rPr>
        <w:t>Radiográfica Costarricense, S.A. (RACSA)</w:t>
      </w:r>
    </w:p>
    <w:p w14:paraId="3E2A43E5" w14:textId="77777777" w:rsidR="00A65F5F" w:rsidRDefault="00A65F5F" w:rsidP="00A65F5F">
      <w:pPr>
        <w:ind w:left="-567"/>
      </w:pPr>
    </w:p>
    <w:p w14:paraId="767B828D" w14:textId="77777777" w:rsidR="00A65F5F" w:rsidRDefault="00A65F5F" w:rsidP="00A65F5F">
      <w:pPr>
        <w:ind w:left="-567"/>
      </w:pPr>
      <w:r>
        <w:t>Radiográfica Costarricense, S.A. (RACSA), es una sociedad anónima constituida el 27 de julio de 1964 bajo las leyes de la República de Costa Rica, propiedad del Instituto y de CRICRSA (participación proporcional de 50%), creada mediante Ley 3293 del 18 de junio de 1964. Se encuentra regulada por las disposiciones de los decretos ejecutivos No.7927-H y No.14666-H del 12 de enero de 1978 y 9 de mayo de 1983 respectivamente, del Código Civil y el Código de Comercio. Los principales objetivos de su creación son la explotación de los servicios de telecomunicaciones en Costa Rica.</w:t>
      </w:r>
    </w:p>
    <w:p w14:paraId="7B4C5DAB" w14:textId="77777777" w:rsidR="00A65F5F" w:rsidRDefault="00A65F5F" w:rsidP="00A65F5F">
      <w:pPr>
        <w:ind w:left="-567"/>
      </w:pPr>
    </w:p>
    <w:p w14:paraId="3BB27277" w14:textId="77777777" w:rsidR="00A65F5F" w:rsidRPr="00AD0DF9" w:rsidRDefault="00A65F5F" w:rsidP="00A65F5F">
      <w:pPr>
        <w:ind w:left="-567"/>
        <w:rPr>
          <w:b/>
        </w:rPr>
      </w:pPr>
      <w:r w:rsidRPr="00AD0DF9">
        <w:rPr>
          <w:b/>
        </w:rPr>
        <w:t>Compañía Radiográfica Internacional de Costa Rica, S.A. (CRICRSA)</w:t>
      </w:r>
    </w:p>
    <w:p w14:paraId="47DE171F" w14:textId="77777777" w:rsidR="00A65F5F" w:rsidRDefault="00A65F5F" w:rsidP="00A65F5F">
      <w:pPr>
        <w:ind w:left="-567"/>
      </w:pPr>
    </w:p>
    <w:p w14:paraId="2E29DC93" w14:textId="77777777" w:rsidR="00A65F5F" w:rsidRDefault="00A65F5F" w:rsidP="00A65F5F">
      <w:pPr>
        <w:ind w:left="-567"/>
      </w:pPr>
      <w:r>
        <w:t>Compañía Radiográfica Internacional de Costa Rica, S.A. (CRICRSA) fue constituida mediante Ley 47 del 25 de julio de 1921. El objetivo principal es la explotación de la concesión referente a comunicaciones inalámbricas. Actualmente la compañía no cuenta con funcionarios ni empleados, ya que el Instituto le proporciona los servicios contables y administrativos (participación 100%). La sociedad no tiene otra actividad que ser la propietaria del 50% de las acciones de RACSA, razón por la cual no presenta ingresos ni egresos propios, ni tiene una estructura organizacional.</w:t>
      </w:r>
    </w:p>
    <w:p w14:paraId="16FFC4DA" w14:textId="77777777" w:rsidR="00A65F5F" w:rsidRDefault="00A65F5F" w:rsidP="00A65F5F">
      <w:pPr>
        <w:jc w:val="center"/>
        <w:rPr>
          <w:b/>
        </w:rPr>
      </w:pPr>
    </w:p>
    <w:p w14:paraId="04332BF6" w14:textId="77777777" w:rsidR="00A65F5F" w:rsidRPr="00C753E2" w:rsidRDefault="00A65F5F" w:rsidP="00EF0D70">
      <w:pPr>
        <w:pStyle w:val="Ttulo2"/>
        <w:numPr>
          <w:ilvl w:val="1"/>
          <w:numId w:val="53"/>
        </w:numPr>
      </w:pPr>
      <w:bookmarkStart w:id="2408" w:name="_Toc343676067"/>
      <w:bookmarkStart w:id="2409" w:name="_Toc358619430"/>
      <w:bookmarkStart w:id="2410" w:name="_Toc358620695"/>
      <w:bookmarkStart w:id="2411" w:name="_Toc358621902"/>
      <w:bookmarkStart w:id="2412" w:name="_Toc358622879"/>
      <w:bookmarkStart w:id="2413" w:name="_Toc26357166"/>
      <w:bookmarkStart w:id="2414" w:name="_Toc138664955"/>
      <w:r>
        <w:t>Organigrama</w:t>
      </w:r>
      <w:bookmarkEnd w:id="2408"/>
      <w:bookmarkEnd w:id="2409"/>
      <w:bookmarkEnd w:id="2410"/>
      <w:bookmarkEnd w:id="2411"/>
      <w:bookmarkEnd w:id="2412"/>
      <w:bookmarkEnd w:id="2413"/>
      <w:bookmarkEnd w:id="2414"/>
    </w:p>
    <w:p w14:paraId="7D49BC5B" w14:textId="198C7FF0" w:rsidR="00135A34" w:rsidRDefault="00135A34" w:rsidP="00632CE2">
      <w:pPr>
        <w:ind w:left="-1560" w:right="992"/>
        <w:jc w:val="left"/>
      </w:pPr>
    </w:p>
    <w:p w14:paraId="5B6561CA" w14:textId="5E424D23" w:rsidR="00A055A3" w:rsidRDefault="00A055A3" w:rsidP="00BA08EC">
      <w:pPr>
        <w:ind w:left="-1560" w:right="992"/>
        <w:jc w:val="center"/>
      </w:pPr>
      <w:r>
        <w:rPr>
          <w:noProof/>
          <w:lang w:val="es-CR" w:eastAsia="es-CR"/>
        </w:rPr>
        <w:drawing>
          <wp:inline distT="0" distB="0" distL="0" distR="0" wp14:anchorId="3096251D" wp14:editId="20CA6DBF">
            <wp:extent cx="6954170" cy="530148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64380" cy="5309267"/>
                    </a:xfrm>
                    <a:prstGeom prst="rect">
                      <a:avLst/>
                    </a:prstGeom>
                  </pic:spPr>
                </pic:pic>
              </a:graphicData>
            </a:graphic>
          </wp:inline>
        </w:drawing>
      </w:r>
    </w:p>
    <w:p w14:paraId="10CBECCB" w14:textId="77777777" w:rsidR="00A65F5F" w:rsidRPr="00670E95" w:rsidRDefault="00A65F5F" w:rsidP="00632CE2">
      <w:pPr>
        <w:ind w:left="-1560" w:right="992"/>
        <w:jc w:val="left"/>
      </w:pPr>
      <w:r>
        <w:rPr>
          <w:noProof/>
          <w:lang w:val="es-CR" w:eastAsia="es-CR"/>
        </w:rPr>
        <w:drawing>
          <wp:anchor distT="0" distB="0" distL="114300" distR="114300" simplePos="0" relativeHeight="251660288" behindDoc="0" locked="0" layoutInCell="1" allowOverlap="1" wp14:anchorId="2C7FF752" wp14:editId="443FC261">
            <wp:simplePos x="0" y="0"/>
            <wp:positionH relativeFrom="column">
              <wp:posOffset>0</wp:posOffset>
            </wp:positionH>
            <wp:positionV relativeFrom="paragraph">
              <wp:posOffset>0</wp:posOffset>
            </wp:positionV>
            <wp:extent cx="9525" cy="9525"/>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9264" behindDoc="0" locked="0" layoutInCell="1" allowOverlap="1" wp14:anchorId="5D10E8EA" wp14:editId="6CC44580">
            <wp:simplePos x="0" y="0"/>
            <wp:positionH relativeFrom="column">
              <wp:posOffset>0</wp:posOffset>
            </wp:positionH>
            <wp:positionV relativeFrom="paragraph">
              <wp:posOffset>0</wp:posOffset>
            </wp:positionV>
            <wp:extent cx="9525" cy="9525"/>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7D36D" w14:textId="77777777" w:rsidR="00A65F5F" w:rsidRPr="00B318A5" w:rsidRDefault="00A65F5F" w:rsidP="00EF0D70">
      <w:pPr>
        <w:pStyle w:val="Ttulo2"/>
        <w:numPr>
          <w:ilvl w:val="1"/>
          <w:numId w:val="53"/>
        </w:numPr>
      </w:pPr>
      <w:bookmarkStart w:id="2415" w:name="_Toc304737233"/>
      <w:bookmarkStart w:id="2416" w:name="_Toc343676068"/>
      <w:bookmarkStart w:id="2417" w:name="_Toc358619431"/>
      <w:bookmarkStart w:id="2418" w:name="_Toc358620696"/>
      <w:bookmarkStart w:id="2419" w:name="_Toc358621903"/>
      <w:bookmarkStart w:id="2420" w:name="_Toc358622880"/>
      <w:bookmarkStart w:id="2421" w:name="_Toc26357167"/>
      <w:bookmarkStart w:id="2422" w:name="_Toc138664956"/>
      <w:r w:rsidRPr="00B318A5">
        <w:t>Propiedades, planta y equipo</w:t>
      </w:r>
      <w:bookmarkEnd w:id="2415"/>
      <w:bookmarkEnd w:id="2416"/>
      <w:bookmarkEnd w:id="2417"/>
      <w:bookmarkEnd w:id="2418"/>
      <w:bookmarkEnd w:id="2419"/>
      <w:bookmarkEnd w:id="2420"/>
      <w:bookmarkEnd w:id="2421"/>
      <w:bookmarkEnd w:id="2422"/>
    </w:p>
    <w:p w14:paraId="3086F8D4" w14:textId="1C680799" w:rsidR="00A65F5F" w:rsidRDefault="00A65F5F" w:rsidP="00A65F5F">
      <w:pPr>
        <w:ind w:left="-567" w:right="-25"/>
      </w:pPr>
      <w:r w:rsidRPr="00216E20">
        <w:t>El Instituto Costarricense de Electricidad es una empresa muy intensiva en Activo Fijo, producto del tipo de actividad que desarrolla. A continuación</w:t>
      </w:r>
      <w:r w:rsidR="0036612A">
        <w:t>,</w:t>
      </w:r>
      <w:r w:rsidRPr="00216E20">
        <w:t xml:space="preserve"> se presenta un listado de los principales activos (plantas y equipo) más importantes y representativos del ICE:</w:t>
      </w:r>
    </w:p>
    <w:p w14:paraId="5DF828A6" w14:textId="703B0C7E" w:rsidR="00CB0EF2" w:rsidRDefault="00CB0EF2" w:rsidP="00A65F5F">
      <w:pPr>
        <w:ind w:left="-567" w:right="-25"/>
      </w:pPr>
    </w:p>
    <w:p w14:paraId="245B1EE2" w14:textId="7133C7D1" w:rsidR="00CB0EF2" w:rsidRDefault="00CB0EF2" w:rsidP="00A65F5F">
      <w:pPr>
        <w:ind w:left="-567" w:right="-25"/>
      </w:pPr>
    </w:p>
    <w:p w14:paraId="6A858107" w14:textId="6353DA60" w:rsidR="00CB0EF2" w:rsidRDefault="00CB0EF2" w:rsidP="00A65F5F">
      <w:pPr>
        <w:ind w:left="-567" w:right="-25"/>
      </w:pPr>
    </w:p>
    <w:p w14:paraId="22ED7157" w14:textId="77777777" w:rsidR="00CB0EF2" w:rsidRDefault="00CB0EF2" w:rsidP="00A65F5F">
      <w:pPr>
        <w:ind w:left="-567" w:right="-25"/>
      </w:pPr>
    </w:p>
    <w:p w14:paraId="4504BD26" w14:textId="77777777" w:rsidR="00A65F5F" w:rsidRDefault="00A65F5F" w:rsidP="00A65F5F">
      <w:pPr>
        <w:ind w:left="-567" w:right="-25"/>
      </w:pPr>
    </w:p>
    <w:tbl>
      <w:tblPr>
        <w:tblW w:w="8160" w:type="dxa"/>
        <w:tblCellMar>
          <w:left w:w="70" w:type="dxa"/>
          <w:right w:w="70" w:type="dxa"/>
        </w:tblCellMar>
        <w:tblLook w:val="04A0" w:firstRow="1" w:lastRow="0" w:firstColumn="1" w:lastColumn="0" w:noHBand="0" w:noVBand="1"/>
      </w:tblPr>
      <w:tblGrid>
        <w:gridCol w:w="4800"/>
        <w:gridCol w:w="250"/>
        <w:gridCol w:w="1471"/>
        <w:gridCol w:w="195"/>
        <w:gridCol w:w="1534"/>
      </w:tblGrid>
      <w:tr w:rsidR="00144A3D" w:rsidRPr="00144A3D" w14:paraId="4AC0BFFC" w14:textId="77777777" w:rsidTr="00144A3D">
        <w:trPr>
          <w:trHeight w:val="290"/>
        </w:trPr>
        <w:tc>
          <w:tcPr>
            <w:tcW w:w="4800" w:type="dxa"/>
            <w:tcBorders>
              <w:top w:val="nil"/>
              <w:left w:val="nil"/>
              <w:bottom w:val="nil"/>
              <w:right w:val="nil"/>
            </w:tcBorders>
            <w:shd w:val="clear" w:color="auto" w:fill="auto"/>
            <w:vAlign w:val="bottom"/>
            <w:hideMark/>
          </w:tcPr>
          <w:p w14:paraId="22DD9ADE" w14:textId="77777777" w:rsidR="00144A3D" w:rsidRPr="00144A3D" w:rsidRDefault="00144A3D" w:rsidP="00144A3D">
            <w:pPr>
              <w:ind w:right="0"/>
              <w:jc w:val="left"/>
              <w:rPr>
                <w:sz w:val="20"/>
                <w:szCs w:val="20"/>
                <w:lang w:val="es-419" w:eastAsia="es-419"/>
              </w:rPr>
            </w:pPr>
          </w:p>
        </w:tc>
        <w:tc>
          <w:tcPr>
            <w:tcW w:w="220" w:type="dxa"/>
            <w:tcBorders>
              <w:top w:val="nil"/>
              <w:left w:val="nil"/>
              <w:bottom w:val="nil"/>
              <w:right w:val="nil"/>
            </w:tcBorders>
            <w:shd w:val="clear" w:color="auto" w:fill="auto"/>
            <w:noWrap/>
            <w:vAlign w:val="bottom"/>
            <w:hideMark/>
          </w:tcPr>
          <w:p w14:paraId="2A8AEE3F" w14:textId="77777777" w:rsidR="00144A3D" w:rsidRPr="00144A3D" w:rsidRDefault="00144A3D" w:rsidP="00144A3D">
            <w:pPr>
              <w:ind w:right="0"/>
              <w:jc w:val="center"/>
              <w:rPr>
                <w:sz w:val="20"/>
                <w:szCs w:val="20"/>
                <w:lang w:val="es-419" w:eastAsia="es-419"/>
              </w:rPr>
            </w:pPr>
          </w:p>
        </w:tc>
        <w:tc>
          <w:tcPr>
            <w:tcW w:w="3140" w:type="dxa"/>
            <w:gridSpan w:val="3"/>
            <w:tcBorders>
              <w:top w:val="nil"/>
              <w:left w:val="nil"/>
              <w:bottom w:val="single" w:sz="4" w:space="0" w:color="auto"/>
              <w:right w:val="nil"/>
            </w:tcBorders>
            <w:shd w:val="clear" w:color="auto" w:fill="auto"/>
            <w:noWrap/>
            <w:vAlign w:val="bottom"/>
            <w:hideMark/>
          </w:tcPr>
          <w:p w14:paraId="2EE2B82F"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Al 31 de diciembre de</w:t>
            </w:r>
          </w:p>
        </w:tc>
      </w:tr>
      <w:tr w:rsidR="00144A3D" w:rsidRPr="00144A3D" w14:paraId="67C19D9D" w14:textId="77777777" w:rsidTr="00144A3D">
        <w:trPr>
          <w:trHeight w:val="290"/>
        </w:trPr>
        <w:tc>
          <w:tcPr>
            <w:tcW w:w="4800" w:type="dxa"/>
            <w:tcBorders>
              <w:top w:val="nil"/>
              <w:left w:val="nil"/>
              <w:bottom w:val="nil"/>
              <w:right w:val="nil"/>
            </w:tcBorders>
            <w:shd w:val="clear" w:color="auto" w:fill="auto"/>
            <w:noWrap/>
            <w:vAlign w:val="bottom"/>
            <w:hideMark/>
          </w:tcPr>
          <w:p w14:paraId="5F920960" w14:textId="77777777" w:rsidR="00144A3D" w:rsidRPr="00144A3D" w:rsidRDefault="00144A3D" w:rsidP="00144A3D">
            <w:pPr>
              <w:ind w:right="0"/>
              <w:jc w:val="center"/>
              <w:rPr>
                <w:color w:val="000000"/>
                <w:sz w:val="22"/>
                <w:szCs w:val="22"/>
                <w:lang w:val="es-419" w:eastAsia="es-419"/>
              </w:rPr>
            </w:pPr>
          </w:p>
        </w:tc>
        <w:tc>
          <w:tcPr>
            <w:tcW w:w="220" w:type="dxa"/>
            <w:tcBorders>
              <w:top w:val="nil"/>
              <w:left w:val="nil"/>
              <w:bottom w:val="nil"/>
              <w:right w:val="nil"/>
            </w:tcBorders>
            <w:shd w:val="clear" w:color="auto" w:fill="auto"/>
            <w:noWrap/>
            <w:vAlign w:val="bottom"/>
            <w:hideMark/>
          </w:tcPr>
          <w:p w14:paraId="007E981F" w14:textId="77777777" w:rsidR="00144A3D" w:rsidRPr="00144A3D" w:rsidRDefault="00144A3D" w:rsidP="00144A3D">
            <w:pPr>
              <w:ind w:right="0"/>
              <w:jc w:val="left"/>
              <w:rPr>
                <w:sz w:val="20"/>
                <w:szCs w:val="20"/>
                <w:lang w:val="es-419" w:eastAsia="es-419"/>
              </w:rPr>
            </w:pPr>
          </w:p>
        </w:tc>
        <w:tc>
          <w:tcPr>
            <w:tcW w:w="1471" w:type="dxa"/>
            <w:tcBorders>
              <w:top w:val="nil"/>
              <w:left w:val="nil"/>
              <w:bottom w:val="single" w:sz="4" w:space="0" w:color="auto"/>
              <w:right w:val="nil"/>
            </w:tcBorders>
            <w:shd w:val="clear" w:color="auto" w:fill="auto"/>
            <w:noWrap/>
            <w:vAlign w:val="center"/>
            <w:hideMark/>
          </w:tcPr>
          <w:p w14:paraId="139E947D"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2022</w:t>
            </w:r>
          </w:p>
        </w:tc>
        <w:tc>
          <w:tcPr>
            <w:tcW w:w="135" w:type="dxa"/>
            <w:tcBorders>
              <w:top w:val="nil"/>
              <w:left w:val="nil"/>
              <w:bottom w:val="nil"/>
              <w:right w:val="nil"/>
            </w:tcBorders>
            <w:shd w:val="clear" w:color="auto" w:fill="auto"/>
            <w:noWrap/>
            <w:vAlign w:val="center"/>
            <w:hideMark/>
          </w:tcPr>
          <w:p w14:paraId="45B32DDE"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w:t>
            </w:r>
          </w:p>
        </w:tc>
        <w:tc>
          <w:tcPr>
            <w:tcW w:w="1534" w:type="dxa"/>
            <w:tcBorders>
              <w:top w:val="nil"/>
              <w:left w:val="nil"/>
              <w:bottom w:val="single" w:sz="4" w:space="0" w:color="auto"/>
              <w:right w:val="nil"/>
            </w:tcBorders>
            <w:shd w:val="clear" w:color="auto" w:fill="auto"/>
            <w:vAlign w:val="center"/>
            <w:hideMark/>
          </w:tcPr>
          <w:p w14:paraId="05F3744F"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2021</w:t>
            </w:r>
          </w:p>
        </w:tc>
      </w:tr>
      <w:tr w:rsidR="00144A3D" w:rsidRPr="00144A3D" w14:paraId="32020245" w14:textId="77777777" w:rsidTr="00144A3D">
        <w:trPr>
          <w:trHeight w:val="290"/>
        </w:trPr>
        <w:tc>
          <w:tcPr>
            <w:tcW w:w="4800" w:type="dxa"/>
            <w:tcBorders>
              <w:top w:val="nil"/>
              <w:left w:val="nil"/>
              <w:bottom w:val="nil"/>
              <w:right w:val="nil"/>
            </w:tcBorders>
            <w:shd w:val="clear" w:color="auto" w:fill="auto"/>
            <w:noWrap/>
            <w:vAlign w:val="center"/>
            <w:hideMark/>
          </w:tcPr>
          <w:p w14:paraId="09C8829B" w14:textId="77777777" w:rsidR="00144A3D" w:rsidRPr="00144A3D" w:rsidRDefault="00144A3D" w:rsidP="00144A3D">
            <w:pPr>
              <w:ind w:right="0"/>
              <w:jc w:val="left"/>
              <w:rPr>
                <w:i/>
                <w:iCs/>
                <w:color w:val="000000"/>
                <w:sz w:val="22"/>
                <w:szCs w:val="22"/>
                <w:u w:val="single"/>
                <w:lang w:val="es-419" w:eastAsia="es-419"/>
              </w:rPr>
            </w:pPr>
            <w:r w:rsidRPr="00144A3D">
              <w:rPr>
                <w:i/>
                <w:iCs/>
                <w:color w:val="000000"/>
                <w:sz w:val="22"/>
                <w:szCs w:val="22"/>
                <w:u w:val="single"/>
                <w:lang w:val="es-419" w:eastAsia="es-419"/>
              </w:rPr>
              <w:t>Costo:</w:t>
            </w:r>
          </w:p>
        </w:tc>
        <w:tc>
          <w:tcPr>
            <w:tcW w:w="220" w:type="dxa"/>
            <w:tcBorders>
              <w:top w:val="nil"/>
              <w:left w:val="nil"/>
              <w:bottom w:val="nil"/>
              <w:right w:val="nil"/>
            </w:tcBorders>
            <w:shd w:val="clear" w:color="auto" w:fill="auto"/>
            <w:noWrap/>
            <w:vAlign w:val="bottom"/>
            <w:hideMark/>
          </w:tcPr>
          <w:p w14:paraId="6C471D5E" w14:textId="77777777" w:rsidR="00144A3D" w:rsidRPr="00144A3D" w:rsidRDefault="00144A3D" w:rsidP="00144A3D">
            <w:pPr>
              <w:ind w:right="0"/>
              <w:jc w:val="left"/>
              <w:rPr>
                <w:i/>
                <w:iCs/>
                <w:color w:val="000000"/>
                <w:sz w:val="22"/>
                <w:szCs w:val="22"/>
                <w:u w:val="single"/>
                <w:lang w:val="es-419" w:eastAsia="es-419"/>
              </w:rPr>
            </w:pPr>
          </w:p>
        </w:tc>
        <w:tc>
          <w:tcPr>
            <w:tcW w:w="1471" w:type="dxa"/>
            <w:tcBorders>
              <w:top w:val="nil"/>
              <w:left w:val="nil"/>
              <w:bottom w:val="nil"/>
              <w:right w:val="nil"/>
            </w:tcBorders>
            <w:shd w:val="clear" w:color="auto" w:fill="auto"/>
            <w:noWrap/>
            <w:vAlign w:val="center"/>
            <w:hideMark/>
          </w:tcPr>
          <w:p w14:paraId="7F3E8DAA" w14:textId="77777777" w:rsidR="00144A3D" w:rsidRPr="00144A3D" w:rsidRDefault="00144A3D" w:rsidP="00144A3D">
            <w:pPr>
              <w:ind w:right="0"/>
              <w:jc w:val="left"/>
              <w:rPr>
                <w:sz w:val="20"/>
                <w:szCs w:val="20"/>
                <w:lang w:val="es-419" w:eastAsia="es-419"/>
              </w:rPr>
            </w:pPr>
          </w:p>
        </w:tc>
        <w:tc>
          <w:tcPr>
            <w:tcW w:w="135" w:type="dxa"/>
            <w:tcBorders>
              <w:top w:val="nil"/>
              <w:left w:val="nil"/>
              <w:bottom w:val="nil"/>
              <w:right w:val="nil"/>
            </w:tcBorders>
            <w:shd w:val="clear" w:color="auto" w:fill="auto"/>
            <w:noWrap/>
            <w:vAlign w:val="center"/>
            <w:hideMark/>
          </w:tcPr>
          <w:p w14:paraId="1DCDAFF7" w14:textId="77777777" w:rsidR="00144A3D" w:rsidRPr="00144A3D" w:rsidRDefault="00144A3D" w:rsidP="00144A3D">
            <w:pPr>
              <w:ind w:right="0"/>
              <w:jc w:val="left"/>
              <w:rPr>
                <w:sz w:val="20"/>
                <w:szCs w:val="20"/>
                <w:lang w:val="es-419" w:eastAsia="es-419"/>
              </w:rPr>
            </w:pPr>
          </w:p>
        </w:tc>
        <w:tc>
          <w:tcPr>
            <w:tcW w:w="1534" w:type="dxa"/>
            <w:tcBorders>
              <w:top w:val="nil"/>
              <w:left w:val="nil"/>
              <w:bottom w:val="nil"/>
              <w:right w:val="nil"/>
            </w:tcBorders>
            <w:shd w:val="clear" w:color="auto" w:fill="auto"/>
            <w:noWrap/>
            <w:vAlign w:val="center"/>
            <w:hideMark/>
          </w:tcPr>
          <w:p w14:paraId="76E45E49" w14:textId="77777777" w:rsidR="00144A3D" w:rsidRPr="00144A3D" w:rsidRDefault="00144A3D" w:rsidP="00144A3D">
            <w:pPr>
              <w:ind w:right="0"/>
              <w:jc w:val="left"/>
              <w:rPr>
                <w:sz w:val="20"/>
                <w:szCs w:val="20"/>
                <w:lang w:val="es-419" w:eastAsia="es-419"/>
              </w:rPr>
            </w:pPr>
          </w:p>
        </w:tc>
      </w:tr>
      <w:tr w:rsidR="00144A3D" w:rsidRPr="00144A3D" w14:paraId="4A462BF5" w14:textId="77777777" w:rsidTr="00144A3D">
        <w:trPr>
          <w:trHeight w:val="290"/>
        </w:trPr>
        <w:tc>
          <w:tcPr>
            <w:tcW w:w="4800" w:type="dxa"/>
            <w:tcBorders>
              <w:top w:val="nil"/>
              <w:left w:val="nil"/>
              <w:bottom w:val="nil"/>
              <w:right w:val="nil"/>
            </w:tcBorders>
            <w:shd w:val="clear" w:color="auto" w:fill="auto"/>
            <w:noWrap/>
            <w:vAlign w:val="center"/>
            <w:hideMark/>
          </w:tcPr>
          <w:p w14:paraId="121DCC56"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Activos en operación</w:t>
            </w:r>
          </w:p>
        </w:tc>
        <w:tc>
          <w:tcPr>
            <w:tcW w:w="220" w:type="dxa"/>
            <w:tcBorders>
              <w:top w:val="nil"/>
              <w:left w:val="nil"/>
              <w:bottom w:val="nil"/>
              <w:right w:val="nil"/>
            </w:tcBorders>
            <w:shd w:val="clear" w:color="auto" w:fill="auto"/>
            <w:noWrap/>
            <w:vAlign w:val="center"/>
            <w:hideMark/>
          </w:tcPr>
          <w:p w14:paraId="1C34CCB8"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w:t>
            </w:r>
          </w:p>
        </w:tc>
        <w:tc>
          <w:tcPr>
            <w:tcW w:w="1471" w:type="dxa"/>
            <w:tcBorders>
              <w:top w:val="nil"/>
              <w:left w:val="nil"/>
              <w:bottom w:val="nil"/>
              <w:right w:val="nil"/>
            </w:tcBorders>
            <w:shd w:val="clear" w:color="auto" w:fill="auto"/>
            <w:vAlign w:val="center"/>
            <w:hideMark/>
          </w:tcPr>
          <w:p w14:paraId="309E81A4"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9 701 611 </w:t>
            </w:r>
          </w:p>
        </w:tc>
        <w:tc>
          <w:tcPr>
            <w:tcW w:w="135" w:type="dxa"/>
            <w:tcBorders>
              <w:top w:val="nil"/>
              <w:left w:val="nil"/>
              <w:bottom w:val="nil"/>
              <w:right w:val="nil"/>
            </w:tcBorders>
            <w:shd w:val="clear" w:color="auto" w:fill="auto"/>
            <w:noWrap/>
            <w:vAlign w:val="bottom"/>
            <w:hideMark/>
          </w:tcPr>
          <w:p w14:paraId="4BE03F67"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74ED2F8D"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9 593 355 </w:t>
            </w:r>
          </w:p>
        </w:tc>
      </w:tr>
      <w:tr w:rsidR="00144A3D" w:rsidRPr="00144A3D" w14:paraId="6BC27987" w14:textId="77777777" w:rsidTr="00144A3D">
        <w:trPr>
          <w:trHeight w:val="290"/>
        </w:trPr>
        <w:tc>
          <w:tcPr>
            <w:tcW w:w="4800" w:type="dxa"/>
            <w:tcBorders>
              <w:top w:val="nil"/>
              <w:left w:val="nil"/>
              <w:bottom w:val="nil"/>
              <w:right w:val="nil"/>
            </w:tcBorders>
            <w:shd w:val="clear" w:color="auto" w:fill="auto"/>
            <w:noWrap/>
            <w:vAlign w:val="center"/>
            <w:hideMark/>
          </w:tcPr>
          <w:p w14:paraId="01113A0A"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Otros activos en operación</w:t>
            </w:r>
          </w:p>
        </w:tc>
        <w:tc>
          <w:tcPr>
            <w:tcW w:w="220" w:type="dxa"/>
            <w:tcBorders>
              <w:top w:val="nil"/>
              <w:left w:val="nil"/>
              <w:bottom w:val="nil"/>
              <w:right w:val="nil"/>
            </w:tcBorders>
            <w:shd w:val="clear" w:color="auto" w:fill="auto"/>
            <w:noWrap/>
            <w:vAlign w:val="bottom"/>
            <w:hideMark/>
          </w:tcPr>
          <w:p w14:paraId="0CEC318E"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nil"/>
              <w:right w:val="nil"/>
            </w:tcBorders>
            <w:shd w:val="clear" w:color="auto" w:fill="auto"/>
            <w:vAlign w:val="center"/>
            <w:hideMark/>
          </w:tcPr>
          <w:p w14:paraId="5C35D699"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368 676 </w:t>
            </w:r>
          </w:p>
        </w:tc>
        <w:tc>
          <w:tcPr>
            <w:tcW w:w="135" w:type="dxa"/>
            <w:tcBorders>
              <w:top w:val="nil"/>
              <w:left w:val="nil"/>
              <w:bottom w:val="nil"/>
              <w:right w:val="nil"/>
            </w:tcBorders>
            <w:shd w:val="clear" w:color="auto" w:fill="auto"/>
            <w:noWrap/>
            <w:vAlign w:val="bottom"/>
            <w:hideMark/>
          </w:tcPr>
          <w:p w14:paraId="187691E6"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17C7EC57"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400 640 </w:t>
            </w:r>
          </w:p>
        </w:tc>
      </w:tr>
      <w:tr w:rsidR="00144A3D" w:rsidRPr="00144A3D" w14:paraId="3A976C39" w14:textId="77777777" w:rsidTr="00144A3D">
        <w:trPr>
          <w:trHeight w:val="290"/>
        </w:trPr>
        <w:tc>
          <w:tcPr>
            <w:tcW w:w="4800" w:type="dxa"/>
            <w:tcBorders>
              <w:top w:val="nil"/>
              <w:left w:val="nil"/>
              <w:bottom w:val="nil"/>
              <w:right w:val="nil"/>
            </w:tcBorders>
            <w:shd w:val="clear" w:color="auto" w:fill="auto"/>
            <w:noWrap/>
            <w:vAlign w:val="center"/>
            <w:hideMark/>
          </w:tcPr>
          <w:p w14:paraId="1EBD2B87"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Total costo activos en operación</w:t>
            </w:r>
          </w:p>
        </w:tc>
        <w:tc>
          <w:tcPr>
            <w:tcW w:w="220" w:type="dxa"/>
            <w:tcBorders>
              <w:top w:val="nil"/>
              <w:left w:val="nil"/>
              <w:bottom w:val="nil"/>
              <w:right w:val="nil"/>
            </w:tcBorders>
            <w:shd w:val="clear" w:color="auto" w:fill="auto"/>
            <w:noWrap/>
            <w:vAlign w:val="bottom"/>
            <w:hideMark/>
          </w:tcPr>
          <w:p w14:paraId="5A3B9AB4" w14:textId="77777777" w:rsidR="00144A3D" w:rsidRPr="00144A3D" w:rsidRDefault="00144A3D" w:rsidP="00144A3D">
            <w:pPr>
              <w:ind w:right="0"/>
              <w:jc w:val="left"/>
              <w:rPr>
                <w:color w:val="000000"/>
                <w:sz w:val="22"/>
                <w:szCs w:val="22"/>
                <w:lang w:val="es-419" w:eastAsia="es-419"/>
              </w:rPr>
            </w:pPr>
          </w:p>
        </w:tc>
        <w:tc>
          <w:tcPr>
            <w:tcW w:w="1471" w:type="dxa"/>
            <w:tcBorders>
              <w:top w:val="single" w:sz="4" w:space="0" w:color="auto"/>
              <w:left w:val="nil"/>
              <w:bottom w:val="single" w:sz="4" w:space="0" w:color="auto"/>
              <w:right w:val="nil"/>
            </w:tcBorders>
            <w:shd w:val="clear" w:color="auto" w:fill="auto"/>
            <w:vAlign w:val="center"/>
            <w:hideMark/>
          </w:tcPr>
          <w:p w14:paraId="3BAAE23A"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10 070 287 </w:t>
            </w:r>
          </w:p>
        </w:tc>
        <w:tc>
          <w:tcPr>
            <w:tcW w:w="135" w:type="dxa"/>
            <w:tcBorders>
              <w:top w:val="nil"/>
              <w:left w:val="nil"/>
              <w:bottom w:val="nil"/>
              <w:right w:val="nil"/>
            </w:tcBorders>
            <w:shd w:val="clear" w:color="auto" w:fill="auto"/>
            <w:noWrap/>
            <w:vAlign w:val="bottom"/>
            <w:hideMark/>
          </w:tcPr>
          <w:p w14:paraId="25B5A80F" w14:textId="77777777" w:rsidR="00144A3D" w:rsidRPr="00144A3D" w:rsidRDefault="00144A3D" w:rsidP="00144A3D">
            <w:pPr>
              <w:ind w:right="0"/>
              <w:jc w:val="center"/>
              <w:rPr>
                <w:color w:val="000000"/>
                <w:sz w:val="22"/>
                <w:szCs w:val="22"/>
                <w:lang w:val="es-419" w:eastAsia="es-419"/>
              </w:rPr>
            </w:pPr>
          </w:p>
        </w:tc>
        <w:tc>
          <w:tcPr>
            <w:tcW w:w="1534" w:type="dxa"/>
            <w:tcBorders>
              <w:top w:val="single" w:sz="4" w:space="0" w:color="auto"/>
              <w:left w:val="nil"/>
              <w:bottom w:val="single" w:sz="4" w:space="0" w:color="auto"/>
              <w:right w:val="nil"/>
            </w:tcBorders>
            <w:shd w:val="clear" w:color="auto" w:fill="auto"/>
            <w:vAlign w:val="center"/>
            <w:hideMark/>
          </w:tcPr>
          <w:p w14:paraId="44FD0AE2"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9 993 995 </w:t>
            </w:r>
          </w:p>
        </w:tc>
      </w:tr>
      <w:tr w:rsidR="00144A3D" w:rsidRPr="00144A3D" w14:paraId="73AAC69E" w14:textId="77777777" w:rsidTr="00144A3D">
        <w:trPr>
          <w:trHeight w:val="290"/>
        </w:trPr>
        <w:tc>
          <w:tcPr>
            <w:tcW w:w="4800" w:type="dxa"/>
            <w:tcBorders>
              <w:top w:val="nil"/>
              <w:left w:val="nil"/>
              <w:bottom w:val="nil"/>
              <w:right w:val="nil"/>
            </w:tcBorders>
            <w:shd w:val="clear" w:color="auto" w:fill="auto"/>
            <w:noWrap/>
            <w:vAlign w:val="bottom"/>
            <w:hideMark/>
          </w:tcPr>
          <w:p w14:paraId="5E1FA4AA" w14:textId="77777777" w:rsidR="00144A3D" w:rsidRPr="00144A3D" w:rsidRDefault="00144A3D" w:rsidP="00144A3D">
            <w:pPr>
              <w:ind w:right="0"/>
              <w:jc w:val="center"/>
              <w:rPr>
                <w:color w:val="000000"/>
                <w:sz w:val="22"/>
                <w:szCs w:val="22"/>
                <w:lang w:val="es-419" w:eastAsia="es-419"/>
              </w:rPr>
            </w:pPr>
          </w:p>
        </w:tc>
        <w:tc>
          <w:tcPr>
            <w:tcW w:w="220" w:type="dxa"/>
            <w:tcBorders>
              <w:top w:val="nil"/>
              <w:left w:val="nil"/>
              <w:bottom w:val="nil"/>
              <w:right w:val="nil"/>
            </w:tcBorders>
            <w:shd w:val="clear" w:color="auto" w:fill="auto"/>
            <w:noWrap/>
            <w:vAlign w:val="bottom"/>
            <w:hideMark/>
          </w:tcPr>
          <w:p w14:paraId="7EFD056A" w14:textId="77777777" w:rsidR="00144A3D" w:rsidRPr="00144A3D" w:rsidRDefault="00144A3D" w:rsidP="00144A3D">
            <w:pPr>
              <w:ind w:right="0"/>
              <w:jc w:val="left"/>
              <w:rPr>
                <w:sz w:val="20"/>
                <w:szCs w:val="20"/>
                <w:lang w:val="es-419" w:eastAsia="es-419"/>
              </w:rPr>
            </w:pPr>
          </w:p>
        </w:tc>
        <w:tc>
          <w:tcPr>
            <w:tcW w:w="1471" w:type="dxa"/>
            <w:tcBorders>
              <w:top w:val="nil"/>
              <w:left w:val="nil"/>
              <w:bottom w:val="nil"/>
              <w:right w:val="nil"/>
            </w:tcBorders>
            <w:shd w:val="clear" w:color="auto" w:fill="auto"/>
            <w:noWrap/>
            <w:vAlign w:val="bottom"/>
            <w:hideMark/>
          </w:tcPr>
          <w:p w14:paraId="4BC5B6C8" w14:textId="77777777" w:rsidR="00144A3D" w:rsidRPr="00144A3D" w:rsidRDefault="00144A3D" w:rsidP="00144A3D">
            <w:pPr>
              <w:ind w:right="0"/>
              <w:jc w:val="left"/>
              <w:rPr>
                <w:sz w:val="20"/>
                <w:szCs w:val="20"/>
                <w:lang w:val="es-419" w:eastAsia="es-419"/>
              </w:rPr>
            </w:pPr>
          </w:p>
        </w:tc>
        <w:tc>
          <w:tcPr>
            <w:tcW w:w="135" w:type="dxa"/>
            <w:tcBorders>
              <w:top w:val="nil"/>
              <w:left w:val="nil"/>
              <w:bottom w:val="nil"/>
              <w:right w:val="nil"/>
            </w:tcBorders>
            <w:shd w:val="clear" w:color="auto" w:fill="auto"/>
            <w:noWrap/>
            <w:vAlign w:val="bottom"/>
            <w:hideMark/>
          </w:tcPr>
          <w:p w14:paraId="7B01F97C" w14:textId="77777777" w:rsidR="00144A3D" w:rsidRPr="00144A3D" w:rsidRDefault="00144A3D" w:rsidP="00144A3D">
            <w:pPr>
              <w:ind w:right="0"/>
              <w:jc w:val="left"/>
              <w:rPr>
                <w:sz w:val="20"/>
                <w:szCs w:val="20"/>
                <w:lang w:val="es-419" w:eastAsia="es-419"/>
              </w:rPr>
            </w:pPr>
          </w:p>
        </w:tc>
        <w:tc>
          <w:tcPr>
            <w:tcW w:w="1534" w:type="dxa"/>
            <w:tcBorders>
              <w:top w:val="nil"/>
              <w:left w:val="nil"/>
              <w:bottom w:val="nil"/>
              <w:right w:val="nil"/>
            </w:tcBorders>
            <w:shd w:val="clear" w:color="auto" w:fill="auto"/>
            <w:noWrap/>
            <w:vAlign w:val="bottom"/>
            <w:hideMark/>
          </w:tcPr>
          <w:p w14:paraId="15CCFA4B" w14:textId="77777777" w:rsidR="00144A3D" w:rsidRPr="00144A3D" w:rsidRDefault="00144A3D" w:rsidP="00144A3D">
            <w:pPr>
              <w:ind w:right="0"/>
              <w:jc w:val="left"/>
              <w:rPr>
                <w:sz w:val="20"/>
                <w:szCs w:val="20"/>
                <w:lang w:val="es-419" w:eastAsia="es-419"/>
              </w:rPr>
            </w:pPr>
          </w:p>
        </w:tc>
      </w:tr>
      <w:tr w:rsidR="00144A3D" w:rsidRPr="00144A3D" w14:paraId="5C986348" w14:textId="77777777" w:rsidTr="00144A3D">
        <w:trPr>
          <w:trHeight w:val="290"/>
        </w:trPr>
        <w:tc>
          <w:tcPr>
            <w:tcW w:w="4800" w:type="dxa"/>
            <w:tcBorders>
              <w:top w:val="nil"/>
              <w:left w:val="nil"/>
              <w:bottom w:val="nil"/>
              <w:right w:val="nil"/>
            </w:tcBorders>
            <w:shd w:val="clear" w:color="auto" w:fill="auto"/>
            <w:noWrap/>
            <w:vAlign w:val="center"/>
            <w:hideMark/>
          </w:tcPr>
          <w:p w14:paraId="79927E27" w14:textId="77777777" w:rsidR="00144A3D" w:rsidRPr="00144A3D" w:rsidRDefault="00144A3D" w:rsidP="00144A3D">
            <w:pPr>
              <w:ind w:right="0"/>
              <w:jc w:val="left"/>
              <w:rPr>
                <w:i/>
                <w:iCs/>
                <w:color w:val="000000"/>
                <w:sz w:val="22"/>
                <w:szCs w:val="22"/>
                <w:u w:val="single"/>
                <w:lang w:val="es-419" w:eastAsia="es-419"/>
              </w:rPr>
            </w:pPr>
            <w:r w:rsidRPr="00144A3D">
              <w:rPr>
                <w:i/>
                <w:iCs/>
                <w:color w:val="000000"/>
                <w:sz w:val="22"/>
                <w:szCs w:val="22"/>
                <w:u w:val="single"/>
                <w:lang w:val="es-419" w:eastAsia="es-419"/>
              </w:rPr>
              <w:t>Depreciación acumulada:</w:t>
            </w:r>
          </w:p>
        </w:tc>
        <w:tc>
          <w:tcPr>
            <w:tcW w:w="220" w:type="dxa"/>
            <w:tcBorders>
              <w:top w:val="nil"/>
              <w:left w:val="nil"/>
              <w:bottom w:val="nil"/>
              <w:right w:val="nil"/>
            </w:tcBorders>
            <w:shd w:val="clear" w:color="auto" w:fill="auto"/>
            <w:noWrap/>
            <w:vAlign w:val="bottom"/>
            <w:hideMark/>
          </w:tcPr>
          <w:p w14:paraId="03FE8799" w14:textId="77777777" w:rsidR="00144A3D" w:rsidRPr="00144A3D" w:rsidRDefault="00144A3D" w:rsidP="00144A3D">
            <w:pPr>
              <w:ind w:right="0"/>
              <w:jc w:val="left"/>
              <w:rPr>
                <w:i/>
                <w:iCs/>
                <w:color w:val="000000"/>
                <w:sz w:val="22"/>
                <w:szCs w:val="22"/>
                <w:u w:val="single"/>
                <w:lang w:val="es-419" w:eastAsia="es-419"/>
              </w:rPr>
            </w:pPr>
          </w:p>
        </w:tc>
        <w:tc>
          <w:tcPr>
            <w:tcW w:w="1471" w:type="dxa"/>
            <w:tcBorders>
              <w:top w:val="nil"/>
              <w:left w:val="nil"/>
              <w:bottom w:val="nil"/>
              <w:right w:val="nil"/>
            </w:tcBorders>
            <w:shd w:val="clear" w:color="auto" w:fill="auto"/>
            <w:noWrap/>
            <w:vAlign w:val="bottom"/>
            <w:hideMark/>
          </w:tcPr>
          <w:p w14:paraId="56A49B93" w14:textId="77777777" w:rsidR="00144A3D" w:rsidRPr="00144A3D" w:rsidRDefault="00144A3D" w:rsidP="00144A3D">
            <w:pPr>
              <w:ind w:right="0"/>
              <w:jc w:val="left"/>
              <w:rPr>
                <w:sz w:val="20"/>
                <w:szCs w:val="20"/>
                <w:lang w:val="es-419" w:eastAsia="es-419"/>
              </w:rPr>
            </w:pPr>
          </w:p>
        </w:tc>
        <w:tc>
          <w:tcPr>
            <w:tcW w:w="135" w:type="dxa"/>
            <w:tcBorders>
              <w:top w:val="nil"/>
              <w:left w:val="nil"/>
              <w:bottom w:val="nil"/>
              <w:right w:val="nil"/>
            </w:tcBorders>
            <w:shd w:val="clear" w:color="auto" w:fill="auto"/>
            <w:noWrap/>
            <w:vAlign w:val="bottom"/>
            <w:hideMark/>
          </w:tcPr>
          <w:p w14:paraId="03F12994" w14:textId="77777777" w:rsidR="00144A3D" w:rsidRPr="00144A3D" w:rsidRDefault="00144A3D" w:rsidP="00144A3D">
            <w:pPr>
              <w:ind w:right="0"/>
              <w:jc w:val="left"/>
              <w:rPr>
                <w:sz w:val="20"/>
                <w:szCs w:val="20"/>
                <w:lang w:val="es-419" w:eastAsia="es-419"/>
              </w:rPr>
            </w:pPr>
          </w:p>
        </w:tc>
        <w:tc>
          <w:tcPr>
            <w:tcW w:w="1534" w:type="dxa"/>
            <w:tcBorders>
              <w:top w:val="nil"/>
              <w:left w:val="nil"/>
              <w:bottom w:val="nil"/>
              <w:right w:val="nil"/>
            </w:tcBorders>
            <w:shd w:val="clear" w:color="auto" w:fill="auto"/>
            <w:noWrap/>
            <w:vAlign w:val="bottom"/>
            <w:hideMark/>
          </w:tcPr>
          <w:p w14:paraId="55D4B7B4" w14:textId="77777777" w:rsidR="00144A3D" w:rsidRPr="00144A3D" w:rsidRDefault="00144A3D" w:rsidP="00144A3D">
            <w:pPr>
              <w:ind w:right="0"/>
              <w:jc w:val="left"/>
              <w:rPr>
                <w:sz w:val="20"/>
                <w:szCs w:val="20"/>
                <w:lang w:val="es-419" w:eastAsia="es-419"/>
              </w:rPr>
            </w:pPr>
          </w:p>
        </w:tc>
      </w:tr>
      <w:tr w:rsidR="00144A3D" w:rsidRPr="00144A3D" w14:paraId="38B08769" w14:textId="77777777" w:rsidTr="00144A3D">
        <w:trPr>
          <w:trHeight w:val="290"/>
        </w:trPr>
        <w:tc>
          <w:tcPr>
            <w:tcW w:w="4800" w:type="dxa"/>
            <w:tcBorders>
              <w:top w:val="nil"/>
              <w:left w:val="nil"/>
              <w:bottom w:val="nil"/>
              <w:right w:val="nil"/>
            </w:tcBorders>
            <w:shd w:val="clear" w:color="auto" w:fill="auto"/>
            <w:noWrap/>
            <w:vAlign w:val="center"/>
            <w:hideMark/>
          </w:tcPr>
          <w:p w14:paraId="5D25BAC3"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Activos en operación</w:t>
            </w:r>
          </w:p>
        </w:tc>
        <w:tc>
          <w:tcPr>
            <w:tcW w:w="220" w:type="dxa"/>
            <w:tcBorders>
              <w:top w:val="nil"/>
              <w:left w:val="nil"/>
              <w:bottom w:val="nil"/>
              <w:right w:val="nil"/>
            </w:tcBorders>
            <w:shd w:val="clear" w:color="auto" w:fill="auto"/>
            <w:noWrap/>
            <w:vAlign w:val="bottom"/>
            <w:hideMark/>
          </w:tcPr>
          <w:p w14:paraId="0B7AC37A"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nil"/>
              <w:right w:val="nil"/>
            </w:tcBorders>
            <w:shd w:val="clear" w:color="auto" w:fill="auto"/>
            <w:vAlign w:val="center"/>
            <w:hideMark/>
          </w:tcPr>
          <w:p w14:paraId="7FA9E3BA"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4 995 147 </w:t>
            </w:r>
          </w:p>
        </w:tc>
        <w:tc>
          <w:tcPr>
            <w:tcW w:w="135" w:type="dxa"/>
            <w:tcBorders>
              <w:top w:val="nil"/>
              <w:left w:val="nil"/>
              <w:bottom w:val="nil"/>
              <w:right w:val="nil"/>
            </w:tcBorders>
            <w:shd w:val="clear" w:color="auto" w:fill="auto"/>
            <w:noWrap/>
            <w:vAlign w:val="bottom"/>
            <w:hideMark/>
          </w:tcPr>
          <w:p w14:paraId="3392508E"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0F292657"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4 719 992 </w:t>
            </w:r>
          </w:p>
        </w:tc>
      </w:tr>
      <w:tr w:rsidR="00144A3D" w:rsidRPr="00144A3D" w14:paraId="1501E5BB" w14:textId="77777777" w:rsidTr="00144A3D">
        <w:trPr>
          <w:trHeight w:val="290"/>
        </w:trPr>
        <w:tc>
          <w:tcPr>
            <w:tcW w:w="4800" w:type="dxa"/>
            <w:tcBorders>
              <w:top w:val="nil"/>
              <w:left w:val="nil"/>
              <w:bottom w:val="nil"/>
              <w:right w:val="nil"/>
            </w:tcBorders>
            <w:shd w:val="clear" w:color="auto" w:fill="auto"/>
            <w:noWrap/>
            <w:vAlign w:val="center"/>
            <w:hideMark/>
          </w:tcPr>
          <w:p w14:paraId="67479CA3"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Otros activos en operación</w:t>
            </w:r>
          </w:p>
        </w:tc>
        <w:tc>
          <w:tcPr>
            <w:tcW w:w="220" w:type="dxa"/>
            <w:tcBorders>
              <w:top w:val="nil"/>
              <w:left w:val="nil"/>
              <w:bottom w:val="nil"/>
              <w:right w:val="nil"/>
            </w:tcBorders>
            <w:shd w:val="clear" w:color="auto" w:fill="auto"/>
            <w:noWrap/>
            <w:vAlign w:val="bottom"/>
            <w:hideMark/>
          </w:tcPr>
          <w:p w14:paraId="4150FCB8"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nil"/>
              <w:right w:val="nil"/>
            </w:tcBorders>
            <w:shd w:val="clear" w:color="auto" w:fill="auto"/>
            <w:vAlign w:val="center"/>
            <w:hideMark/>
          </w:tcPr>
          <w:p w14:paraId="5AFC0113"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311 883 </w:t>
            </w:r>
          </w:p>
        </w:tc>
        <w:tc>
          <w:tcPr>
            <w:tcW w:w="135" w:type="dxa"/>
            <w:tcBorders>
              <w:top w:val="nil"/>
              <w:left w:val="nil"/>
              <w:bottom w:val="nil"/>
              <w:right w:val="nil"/>
            </w:tcBorders>
            <w:shd w:val="clear" w:color="auto" w:fill="auto"/>
            <w:noWrap/>
            <w:vAlign w:val="bottom"/>
            <w:hideMark/>
          </w:tcPr>
          <w:p w14:paraId="10C214C4"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00A35509"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324 013 </w:t>
            </w:r>
          </w:p>
        </w:tc>
      </w:tr>
      <w:tr w:rsidR="00144A3D" w:rsidRPr="00144A3D" w14:paraId="41517775" w14:textId="77777777" w:rsidTr="00144A3D">
        <w:trPr>
          <w:trHeight w:val="290"/>
        </w:trPr>
        <w:tc>
          <w:tcPr>
            <w:tcW w:w="4800" w:type="dxa"/>
            <w:tcBorders>
              <w:top w:val="nil"/>
              <w:left w:val="nil"/>
              <w:bottom w:val="nil"/>
              <w:right w:val="nil"/>
            </w:tcBorders>
            <w:shd w:val="clear" w:color="auto" w:fill="auto"/>
            <w:vAlign w:val="center"/>
            <w:hideMark/>
          </w:tcPr>
          <w:p w14:paraId="04D6F7E7"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Total depreciación acumulada activos en operación</w:t>
            </w:r>
          </w:p>
        </w:tc>
        <w:tc>
          <w:tcPr>
            <w:tcW w:w="220" w:type="dxa"/>
            <w:tcBorders>
              <w:top w:val="nil"/>
              <w:left w:val="nil"/>
              <w:bottom w:val="nil"/>
              <w:right w:val="nil"/>
            </w:tcBorders>
            <w:shd w:val="clear" w:color="auto" w:fill="auto"/>
            <w:noWrap/>
            <w:vAlign w:val="bottom"/>
            <w:hideMark/>
          </w:tcPr>
          <w:p w14:paraId="45F1040A" w14:textId="77777777" w:rsidR="00144A3D" w:rsidRPr="00144A3D" w:rsidRDefault="00144A3D" w:rsidP="00144A3D">
            <w:pPr>
              <w:ind w:right="0"/>
              <w:jc w:val="left"/>
              <w:rPr>
                <w:color w:val="000000"/>
                <w:sz w:val="22"/>
                <w:szCs w:val="22"/>
                <w:lang w:val="es-419" w:eastAsia="es-419"/>
              </w:rPr>
            </w:pPr>
          </w:p>
        </w:tc>
        <w:tc>
          <w:tcPr>
            <w:tcW w:w="1471" w:type="dxa"/>
            <w:tcBorders>
              <w:top w:val="single" w:sz="4" w:space="0" w:color="auto"/>
              <w:left w:val="nil"/>
              <w:bottom w:val="single" w:sz="4" w:space="0" w:color="auto"/>
              <w:right w:val="nil"/>
            </w:tcBorders>
            <w:shd w:val="clear" w:color="auto" w:fill="auto"/>
            <w:vAlign w:val="center"/>
            <w:hideMark/>
          </w:tcPr>
          <w:p w14:paraId="4A34CEC8"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5 307 030 </w:t>
            </w:r>
          </w:p>
        </w:tc>
        <w:tc>
          <w:tcPr>
            <w:tcW w:w="135" w:type="dxa"/>
            <w:tcBorders>
              <w:top w:val="nil"/>
              <w:left w:val="nil"/>
              <w:bottom w:val="nil"/>
              <w:right w:val="nil"/>
            </w:tcBorders>
            <w:shd w:val="clear" w:color="auto" w:fill="auto"/>
            <w:noWrap/>
            <w:vAlign w:val="bottom"/>
            <w:hideMark/>
          </w:tcPr>
          <w:p w14:paraId="66EDBA67" w14:textId="77777777" w:rsidR="00144A3D" w:rsidRPr="00144A3D" w:rsidRDefault="00144A3D" w:rsidP="00144A3D">
            <w:pPr>
              <w:ind w:right="0"/>
              <w:jc w:val="center"/>
              <w:rPr>
                <w:color w:val="000000"/>
                <w:sz w:val="22"/>
                <w:szCs w:val="22"/>
                <w:lang w:val="es-419" w:eastAsia="es-419"/>
              </w:rPr>
            </w:pPr>
          </w:p>
        </w:tc>
        <w:tc>
          <w:tcPr>
            <w:tcW w:w="1534" w:type="dxa"/>
            <w:tcBorders>
              <w:top w:val="single" w:sz="4" w:space="0" w:color="auto"/>
              <w:left w:val="nil"/>
              <w:bottom w:val="single" w:sz="4" w:space="0" w:color="auto"/>
              <w:right w:val="nil"/>
            </w:tcBorders>
            <w:shd w:val="clear" w:color="auto" w:fill="auto"/>
            <w:vAlign w:val="center"/>
            <w:hideMark/>
          </w:tcPr>
          <w:p w14:paraId="4914E2E6"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5 044 005 </w:t>
            </w:r>
          </w:p>
        </w:tc>
      </w:tr>
      <w:tr w:rsidR="00144A3D" w:rsidRPr="00144A3D" w14:paraId="6A270E74" w14:textId="77777777" w:rsidTr="00144A3D">
        <w:trPr>
          <w:trHeight w:val="290"/>
        </w:trPr>
        <w:tc>
          <w:tcPr>
            <w:tcW w:w="4800" w:type="dxa"/>
            <w:tcBorders>
              <w:top w:val="nil"/>
              <w:left w:val="nil"/>
              <w:bottom w:val="nil"/>
              <w:right w:val="nil"/>
            </w:tcBorders>
            <w:shd w:val="clear" w:color="auto" w:fill="auto"/>
            <w:noWrap/>
            <w:vAlign w:val="center"/>
            <w:hideMark/>
          </w:tcPr>
          <w:p w14:paraId="6D609E8A"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Activos en operación, neto</w:t>
            </w:r>
          </w:p>
        </w:tc>
        <w:tc>
          <w:tcPr>
            <w:tcW w:w="220" w:type="dxa"/>
            <w:tcBorders>
              <w:top w:val="nil"/>
              <w:left w:val="nil"/>
              <w:bottom w:val="nil"/>
              <w:right w:val="nil"/>
            </w:tcBorders>
            <w:shd w:val="clear" w:color="auto" w:fill="auto"/>
            <w:noWrap/>
            <w:vAlign w:val="bottom"/>
            <w:hideMark/>
          </w:tcPr>
          <w:p w14:paraId="2EAF0893"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single" w:sz="4" w:space="0" w:color="auto"/>
              <w:right w:val="nil"/>
            </w:tcBorders>
            <w:shd w:val="clear" w:color="auto" w:fill="auto"/>
            <w:vAlign w:val="center"/>
            <w:hideMark/>
          </w:tcPr>
          <w:p w14:paraId="0BE8AD5F"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4 763 257 </w:t>
            </w:r>
          </w:p>
        </w:tc>
        <w:tc>
          <w:tcPr>
            <w:tcW w:w="135" w:type="dxa"/>
            <w:tcBorders>
              <w:top w:val="nil"/>
              <w:left w:val="nil"/>
              <w:bottom w:val="nil"/>
              <w:right w:val="nil"/>
            </w:tcBorders>
            <w:shd w:val="clear" w:color="auto" w:fill="auto"/>
            <w:noWrap/>
            <w:vAlign w:val="bottom"/>
            <w:hideMark/>
          </w:tcPr>
          <w:p w14:paraId="784FD14D"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single" w:sz="4" w:space="0" w:color="auto"/>
              <w:right w:val="nil"/>
            </w:tcBorders>
            <w:shd w:val="clear" w:color="auto" w:fill="auto"/>
            <w:vAlign w:val="center"/>
            <w:hideMark/>
          </w:tcPr>
          <w:p w14:paraId="291D753B"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4 949 990 </w:t>
            </w:r>
          </w:p>
        </w:tc>
      </w:tr>
      <w:tr w:rsidR="00144A3D" w:rsidRPr="00144A3D" w14:paraId="7B6B5773" w14:textId="77777777" w:rsidTr="00144A3D">
        <w:trPr>
          <w:trHeight w:val="290"/>
        </w:trPr>
        <w:tc>
          <w:tcPr>
            <w:tcW w:w="4800" w:type="dxa"/>
            <w:tcBorders>
              <w:top w:val="nil"/>
              <w:left w:val="nil"/>
              <w:bottom w:val="nil"/>
              <w:right w:val="nil"/>
            </w:tcBorders>
            <w:shd w:val="clear" w:color="auto" w:fill="auto"/>
            <w:noWrap/>
            <w:vAlign w:val="bottom"/>
            <w:hideMark/>
          </w:tcPr>
          <w:p w14:paraId="776276EB" w14:textId="77777777" w:rsidR="00144A3D" w:rsidRPr="00144A3D" w:rsidRDefault="00144A3D" w:rsidP="00144A3D">
            <w:pPr>
              <w:ind w:right="0"/>
              <w:jc w:val="center"/>
              <w:rPr>
                <w:color w:val="000000"/>
                <w:sz w:val="22"/>
                <w:szCs w:val="22"/>
                <w:lang w:val="es-419" w:eastAsia="es-419"/>
              </w:rPr>
            </w:pPr>
          </w:p>
        </w:tc>
        <w:tc>
          <w:tcPr>
            <w:tcW w:w="220" w:type="dxa"/>
            <w:tcBorders>
              <w:top w:val="nil"/>
              <w:left w:val="nil"/>
              <w:bottom w:val="nil"/>
              <w:right w:val="nil"/>
            </w:tcBorders>
            <w:shd w:val="clear" w:color="auto" w:fill="auto"/>
            <w:noWrap/>
            <w:vAlign w:val="bottom"/>
            <w:hideMark/>
          </w:tcPr>
          <w:p w14:paraId="1778FC1A" w14:textId="77777777" w:rsidR="00144A3D" w:rsidRPr="00144A3D" w:rsidRDefault="00144A3D" w:rsidP="00144A3D">
            <w:pPr>
              <w:ind w:right="0"/>
              <w:jc w:val="left"/>
              <w:rPr>
                <w:sz w:val="20"/>
                <w:szCs w:val="20"/>
                <w:lang w:val="es-419" w:eastAsia="es-419"/>
              </w:rPr>
            </w:pPr>
          </w:p>
        </w:tc>
        <w:tc>
          <w:tcPr>
            <w:tcW w:w="1471" w:type="dxa"/>
            <w:tcBorders>
              <w:top w:val="nil"/>
              <w:left w:val="nil"/>
              <w:bottom w:val="nil"/>
              <w:right w:val="nil"/>
            </w:tcBorders>
            <w:shd w:val="clear" w:color="auto" w:fill="auto"/>
            <w:noWrap/>
            <w:vAlign w:val="bottom"/>
            <w:hideMark/>
          </w:tcPr>
          <w:p w14:paraId="176C261F" w14:textId="77777777" w:rsidR="00144A3D" w:rsidRPr="00144A3D" w:rsidRDefault="00144A3D" w:rsidP="00144A3D">
            <w:pPr>
              <w:ind w:right="0"/>
              <w:jc w:val="left"/>
              <w:rPr>
                <w:sz w:val="20"/>
                <w:szCs w:val="20"/>
                <w:lang w:val="es-419" w:eastAsia="es-419"/>
              </w:rPr>
            </w:pPr>
          </w:p>
        </w:tc>
        <w:tc>
          <w:tcPr>
            <w:tcW w:w="135" w:type="dxa"/>
            <w:tcBorders>
              <w:top w:val="nil"/>
              <w:left w:val="nil"/>
              <w:bottom w:val="nil"/>
              <w:right w:val="nil"/>
            </w:tcBorders>
            <w:shd w:val="clear" w:color="auto" w:fill="auto"/>
            <w:noWrap/>
            <w:vAlign w:val="bottom"/>
            <w:hideMark/>
          </w:tcPr>
          <w:p w14:paraId="2AFF4157" w14:textId="77777777" w:rsidR="00144A3D" w:rsidRPr="00144A3D" w:rsidRDefault="00144A3D" w:rsidP="00144A3D">
            <w:pPr>
              <w:ind w:right="0"/>
              <w:jc w:val="left"/>
              <w:rPr>
                <w:sz w:val="20"/>
                <w:szCs w:val="20"/>
                <w:lang w:val="es-419" w:eastAsia="es-419"/>
              </w:rPr>
            </w:pPr>
          </w:p>
        </w:tc>
        <w:tc>
          <w:tcPr>
            <w:tcW w:w="1534" w:type="dxa"/>
            <w:tcBorders>
              <w:top w:val="nil"/>
              <w:left w:val="nil"/>
              <w:bottom w:val="nil"/>
              <w:right w:val="nil"/>
            </w:tcBorders>
            <w:shd w:val="clear" w:color="auto" w:fill="auto"/>
            <w:noWrap/>
            <w:vAlign w:val="bottom"/>
            <w:hideMark/>
          </w:tcPr>
          <w:p w14:paraId="1D7A646C" w14:textId="77777777" w:rsidR="00144A3D" w:rsidRPr="00144A3D" w:rsidRDefault="00144A3D" w:rsidP="00144A3D">
            <w:pPr>
              <w:ind w:right="0"/>
              <w:jc w:val="left"/>
              <w:rPr>
                <w:sz w:val="20"/>
                <w:szCs w:val="20"/>
                <w:lang w:val="es-419" w:eastAsia="es-419"/>
              </w:rPr>
            </w:pPr>
          </w:p>
        </w:tc>
      </w:tr>
      <w:tr w:rsidR="00144A3D" w:rsidRPr="00144A3D" w14:paraId="6ECC932E" w14:textId="77777777" w:rsidTr="00144A3D">
        <w:trPr>
          <w:trHeight w:val="290"/>
        </w:trPr>
        <w:tc>
          <w:tcPr>
            <w:tcW w:w="4800" w:type="dxa"/>
            <w:tcBorders>
              <w:top w:val="nil"/>
              <w:left w:val="nil"/>
              <w:bottom w:val="nil"/>
              <w:right w:val="nil"/>
            </w:tcBorders>
            <w:shd w:val="clear" w:color="auto" w:fill="auto"/>
            <w:noWrap/>
            <w:vAlign w:val="center"/>
            <w:hideMark/>
          </w:tcPr>
          <w:p w14:paraId="6006DD46" w14:textId="77777777" w:rsidR="00144A3D" w:rsidRPr="00144A3D" w:rsidRDefault="00144A3D" w:rsidP="00144A3D">
            <w:pPr>
              <w:ind w:right="0"/>
              <w:jc w:val="left"/>
              <w:rPr>
                <w:i/>
                <w:iCs/>
                <w:color w:val="000000"/>
                <w:sz w:val="22"/>
                <w:szCs w:val="22"/>
                <w:u w:val="single"/>
                <w:lang w:val="es-419" w:eastAsia="es-419"/>
              </w:rPr>
            </w:pPr>
            <w:r w:rsidRPr="00144A3D">
              <w:rPr>
                <w:i/>
                <w:iCs/>
                <w:color w:val="000000"/>
                <w:sz w:val="22"/>
                <w:szCs w:val="22"/>
                <w:u w:val="single"/>
                <w:lang w:val="es-419" w:eastAsia="es-419"/>
              </w:rPr>
              <w:t>Otros activos:</w:t>
            </w:r>
          </w:p>
        </w:tc>
        <w:tc>
          <w:tcPr>
            <w:tcW w:w="220" w:type="dxa"/>
            <w:tcBorders>
              <w:top w:val="nil"/>
              <w:left w:val="nil"/>
              <w:bottom w:val="nil"/>
              <w:right w:val="nil"/>
            </w:tcBorders>
            <w:shd w:val="clear" w:color="auto" w:fill="auto"/>
            <w:noWrap/>
            <w:vAlign w:val="bottom"/>
            <w:hideMark/>
          </w:tcPr>
          <w:p w14:paraId="0263A212" w14:textId="77777777" w:rsidR="00144A3D" w:rsidRPr="00144A3D" w:rsidRDefault="00144A3D" w:rsidP="00144A3D">
            <w:pPr>
              <w:ind w:right="0"/>
              <w:jc w:val="left"/>
              <w:rPr>
                <w:i/>
                <w:iCs/>
                <w:color w:val="000000"/>
                <w:sz w:val="22"/>
                <w:szCs w:val="22"/>
                <w:u w:val="single"/>
                <w:lang w:val="es-419" w:eastAsia="es-419"/>
              </w:rPr>
            </w:pPr>
          </w:p>
        </w:tc>
        <w:tc>
          <w:tcPr>
            <w:tcW w:w="1471" w:type="dxa"/>
            <w:tcBorders>
              <w:top w:val="nil"/>
              <w:left w:val="nil"/>
              <w:bottom w:val="nil"/>
              <w:right w:val="nil"/>
            </w:tcBorders>
            <w:shd w:val="clear" w:color="auto" w:fill="auto"/>
            <w:noWrap/>
            <w:vAlign w:val="bottom"/>
            <w:hideMark/>
          </w:tcPr>
          <w:p w14:paraId="434D45A2" w14:textId="77777777" w:rsidR="00144A3D" w:rsidRPr="00144A3D" w:rsidRDefault="00144A3D" w:rsidP="00144A3D">
            <w:pPr>
              <w:ind w:right="0"/>
              <w:jc w:val="left"/>
              <w:rPr>
                <w:sz w:val="20"/>
                <w:szCs w:val="20"/>
                <w:lang w:val="es-419" w:eastAsia="es-419"/>
              </w:rPr>
            </w:pPr>
          </w:p>
        </w:tc>
        <w:tc>
          <w:tcPr>
            <w:tcW w:w="135" w:type="dxa"/>
            <w:tcBorders>
              <w:top w:val="nil"/>
              <w:left w:val="nil"/>
              <w:bottom w:val="nil"/>
              <w:right w:val="nil"/>
            </w:tcBorders>
            <w:shd w:val="clear" w:color="auto" w:fill="auto"/>
            <w:noWrap/>
            <w:vAlign w:val="bottom"/>
            <w:hideMark/>
          </w:tcPr>
          <w:p w14:paraId="0675416F" w14:textId="77777777" w:rsidR="00144A3D" w:rsidRPr="00144A3D" w:rsidRDefault="00144A3D" w:rsidP="00144A3D">
            <w:pPr>
              <w:ind w:right="0"/>
              <w:jc w:val="left"/>
              <w:rPr>
                <w:sz w:val="20"/>
                <w:szCs w:val="20"/>
                <w:lang w:val="es-419" w:eastAsia="es-419"/>
              </w:rPr>
            </w:pPr>
          </w:p>
        </w:tc>
        <w:tc>
          <w:tcPr>
            <w:tcW w:w="1534" w:type="dxa"/>
            <w:tcBorders>
              <w:top w:val="nil"/>
              <w:left w:val="nil"/>
              <w:bottom w:val="nil"/>
              <w:right w:val="nil"/>
            </w:tcBorders>
            <w:shd w:val="clear" w:color="auto" w:fill="auto"/>
            <w:noWrap/>
            <w:vAlign w:val="bottom"/>
            <w:hideMark/>
          </w:tcPr>
          <w:p w14:paraId="5B5BE0D1" w14:textId="77777777" w:rsidR="00144A3D" w:rsidRPr="00144A3D" w:rsidRDefault="00144A3D" w:rsidP="00144A3D">
            <w:pPr>
              <w:ind w:right="0"/>
              <w:jc w:val="left"/>
              <w:rPr>
                <w:sz w:val="20"/>
                <w:szCs w:val="20"/>
                <w:lang w:val="es-419" w:eastAsia="es-419"/>
              </w:rPr>
            </w:pPr>
          </w:p>
        </w:tc>
      </w:tr>
      <w:tr w:rsidR="00144A3D" w:rsidRPr="00144A3D" w14:paraId="1BD9F4EB" w14:textId="77777777" w:rsidTr="00144A3D">
        <w:trPr>
          <w:trHeight w:val="290"/>
        </w:trPr>
        <w:tc>
          <w:tcPr>
            <w:tcW w:w="4800" w:type="dxa"/>
            <w:tcBorders>
              <w:top w:val="nil"/>
              <w:left w:val="nil"/>
              <w:bottom w:val="nil"/>
              <w:right w:val="nil"/>
            </w:tcBorders>
            <w:shd w:val="clear" w:color="auto" w:fill="auto"/>
            <w:noWrap/>
            <w:vAlign w:val="center"/>
            <w:hideMark/>
          </w:tcPr>
          <w:p w14:paraId="39374313"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Obras en construcción </w:t>
            </w:r>
          </w:p>
        </w:tc>
        <w:tc>
          <w:tcPr>
            <w:tcW w:w="220" w:type="dxa"/>
            <w:tcBorders>
              <w:top w:val="nil"/>
              <w:left w:val="nil"/>
              <w:bottom w:val="nil"/>
              <w:right w:val="nil"/>
            </w:tcBorders>
            <w:shd w:val="clear" w:color="auto" w:fill="auto"/>
            <w:noWrap/>
            <w:vAlign w:val="bottom"/>
            <w:hideMark/>
          </w:tcPr>
          <w:p w14:paraId="1814F105"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nil"/>
              <w:right w:val="nil"/>
            </w:tcBorders>
            <w:shd w:val="clear" w:color="auto" w:fill="auto"/>
            <w:vAlign w:val="center"/>
            <w:hideMark/>
          </w:tcPr>
          <w:p w14:paraId="766EFA5F"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126 543 </w:t>
            </w:r>
          </w:p>
        </w:tc>
        <w:tc>
          <w:tcPr>
            <w:tcW w:w="135" w:type="dxa"/>
            <w:tcBorders>
              <w:top w:val="nil"/>
              <w:left w:val="nil"/>
              <w:bottom w:val="nil"/>
              <w:right w:val="nil"/>
            </w:tcBorders>
            <w:shd w:val="clear" w:color="auto" w:fill="auto"/>
            <w:noWrap/>
            <w:vAlign w:val="bottom"/>
            <w:hideMark/>
          </w:tcPr>
          <w:p w14:paraId="1A87F923"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6D6D7978"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142 442 </w:t>
            </w:r>
          </w:p>
        </w:tc>
      </w:tr>
      <w:tr w:rsidR="00144A3D" w:rsidRPr="00144A3D" w14:paraId="1245845F" w14:textId="77777777" w:rsidTr="00144A3D">
        <w:trPr>
          <w:trHeight w:val="290"/>
        </w:trPr>
        <w:tc>
          <w:tcPr>
            <w:tcW w:w="4800" w:type="dxa"/>
            <w:tcBorders>
              <w:top w:val="nil"/>
              <w:left w:val="nil"/>
              <w:bottom w:val="nil"/>
              <w:right w:val="nil"/>
            </w:tcBorders>
            <w:shd w:val="clear" w:color="auto" w:fill="auto"/>
            <w:noWrap/>
            <w:vAlign w:val="center"/>
            <w:hideMark/>
          </w:tcPr>
          <w:p w14:paraId="1395ACD2"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Inventarios - inversión / operación </w:t>
            </w:r>
          </w:p>
        </w:tc>
        <w:tc>
          <w:tcPr>
            <w:tcW w:w="220" w:type="dxa"/>
            <w:tcBorders>
              <w:top w:val="nil"/>
              <w:left w:val="nil"/>
              <w:bottom w:val="nil"/>
              <w:right w:val="nil"/>
            </w:tcBorders>
            <w:shd w:val="clear" w:color="auto" w:fill="auto"/>
            <w:noWrap/>
            <w:vAlign w:val="bottom"/>
            <w:hideMark/>
          </w:tcPr>
          <w:p w14:paraId="7013B8C5" w14:textId="77777777" w:rsidR="00144A3D" w:rsidRPr="00144A3D" w:rsidRDefault="00144A3D" w:rsidP="00144A3D">
            <w:pPr>
              <w:ind w:right="0"/>
              <w:jc w:val="left"/>
              <w:rPr>
                <w:color w:val="000000"/>
                <w:sz w:val="22"/>
                <w:szCs w:val="22"/>
                <w:lang w:val="es-419" w:eastAsia="es-419"/>
              </w:rPr>
            </w:pPr>
          </w:p>
        </w:tc>
        <w:tc>
          <w:tcPr>
            <w:tcW w:w="1471" w:type="dxa"/>
            <w:tcBorders>
              <w:top w:val="nil"/>
              <w:left w:val="nil"/>
              <w:bottom w:val="nil"/>
              <w:right w:val="nil"/>
            </w:tcBorders>
            <w:shd w:val="clear" w:color="auto" w:fill="auto"/>
            <w:vAlign w:val="center"/>
            <w:hideMark/>
          </w:tcPr>
          <w:p w14:paraId="3FA45E85"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117 462 </w:t>
            </w:r>
          </w:p>
        </w:tc>
        <w:tc>
          <w:tcPr>
            <w:tcW w:w="135" w:type="dxa"/>
            <w:tcBorders>
              <w:top w:val="nil"/>
              <w:left w:val="nil"/>
              <w:bottom w:val="nil"/>
              <w:right w:val="nil"/>
            </w:tcBorders>
            <w:shd w:val="clear" w:color="auto" w:fill="auto"/>
            <w:noWrap/>
            <w:vAlign w:val="bottom"/>
            <w:hideMark/>
          </w:tcPr>
          <w:p w14:paraId="1FCADF06"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nil"/>
              <w:right w:val="nil"/>
            </w:tcBorders>
            <w:shd w:val="clear" w:color="auto" w:fill="auto"/>
            <w:vAlign w:val="center"/>
            <w:hideMark/>
          </w:tcPr>
          <w:p w14:paraId="44DAA054"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130 840 </w:t>
            </w:r>
          </w:p>
        </w:tc>
      </w:tr>
      <w:tr w:rsidR="00144A3D" w:rsidRPr="00144A3D" w14:paraId="1036F86C" w14:textId="77777777" w:rsidTr="00144A3D">
        <w:trPr>
          <w:trHeight w:val="290"/>
        </w:trPr>
        <w:tc>
          <w:tcPr>
            <w:tcW w:w="4800" w:type="dxa"/>
            <w:tcBorders>
              <w:top w:val="nil"/>
              <w:left w:val="nil"/>
              <w:bottom w:val="nil"/>
              <w:right w:val="nil"/>
            </w:tcBorders>
            <w:shd w:val="clear" w:color="auto" w:fill="auto"/>
            <w:noWrap/>
            <w:vAlign w:val="center"/>
            <w:hideMark/>
          </w:tcPr>
          <w:p w14:paraId="0FF3D96D" w14:textId="77777777" w:rsidR="00144A3D" w:rsidRPr="00144A3D" w:rsidRDefault="00144A3D" w:rsidP="00144A3D">
            <w:pPr>
              <w:ind w:right="0"/>
              <w:jc w:val="left"/>
              <w:rPr>
                <w:color w:val="000000"/>
                <w:sz w:val="22"/>
                <w:szCs w:val="22"/>
                <w:lang w:val="es-419" w:eastAsia="es-419"/>
              </w:rPr>
            </w:pPr>
            <w:r w:rsidRPr="00144A3D">
              <w:rPr>
                <w:color w:val="000000"/>
                <w:sz w:val="22"/>
                <w:szCs w:val="22"/>
                <w:lang w:val="es-419" w:eastAsia="es-419"/>
              </w:rPr>
              <w:t xml:space="preserve">  Total costo otros activos </w:t>
            </w:r>
          </w:p>
        </w:tc>
        <w:tc>
          <w:tcPr>
            <w:tcW w:w="220" w:type="dxa"/>
            <w:tcBorders>
              <w:top w:val="nil"/>
              <w:left w:val="nil"/>
              <w:bottom w:val="nil"/>
              <w:right w:val="nil"/>
            </w:tcBorders>
            <w:shd w:val="clear" w:color="auto" w:fill="auto"/>
            <w:noWrap/>
            <w:vAlign w:val="bottom"/>
            <w:hideMark/>
          </w:tcPr>
          <w:p w14:paraId="18E8E4D2" w14:textId="77777777" w:rsidR="00144A3D" w:rsidRPr="00144A3D" w:rsidRDefault="00144A3D" w:rsidP="00144A3D">
            <w:pPr>
              <w:ind w:right="0"/>
              <w:jc w:val="left"/>
              <w:rPr>
                <w:color w:val="000000"/>
                <w:sz w:val="22"/>
                <w:szCs w:val="22"/>
                <w:lang w:val="es-419" w:eastAsia="es-419"/>
              </w:rPr>
            </w:pPr>
          </w:p>
        </w:tc>
        <w:tc>
          <w:tcPr>
            <w:tcW w:w="1471" w:type="dxa"/>
            <w:tcBorders>
              <w:top w:val="single" w:sz="4" w:space="0" w:color="auto"/>
              <w:left w:val="nil"/>
              <w:bottom w:val="single" w:sz="4" w:space="0" w:color="auto"/>
              <w:right w:val="nil"/>
            </w:tcBorders>
            <w:shd w:val="clear" w:color="auto" w:fill="auto"/>
            <w:vAlign w:val="center"/>
            <w:hideMark/>
          </w:tcPr>
          <w:p w14:paraId="399F04F0"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244 005 </w:t>
            </w:r>
          </w:p>
        </w:tc>
        <w:tc>
          <w:tcPr>
            <w:tcW w:w="135" w:type="dxa"/>
            <w:tcBorders>
              <w:top w:val="nil"/>
              <w:left w:val="nil"/>
              <w:bottom w:val="nil"/>
              <w:right w:val="nil"/>
            </w:tcBorders>
            <w:shd w:val="clear" w:color="auto" w:fill="auto"/>
            <w:noWrap/>
            <w:vAlign w:val="bottom"/>
            <w:hideMark/>
          </w:tcPr>
          <w:p w14:paraId="248D2AF4" w14:textId="77777777" w:rsidR="00144A3D" w:rsidRPr="00144A3D" w:rsidRDefault="00144A3D" w:rsidP="00144A3D">
            <w:pPr>
              <w:ind w:right="0"/>
              <w:jc w:val="center"/>
              <w:rPr>
                <w:color w:val="000000"/>
                <w:sz w:val="22"/>
                <w:szCs w:val="22"/>
                <w:lang w:val="es-419" w:eastAsia="es-419"/>
              </w:rPr>
            </w:pPr>
          </w:p>
        </w:tc>
        <w:tc>
          <w:tcPr>
            <w:tcW w:w="1534" w:type="dxa"/>
            <w:tcBorders>
              <w:top w:val="single" w:sz="4" w:space="0" w:color="auto"/>
              <w:left w:val="nil"/>
              <w:bottom w:val="single" w:sz="4" w:space="0" w:color="auto"/>
              <w:right w:val="nil"/>
            </w:tcBorders>
            <w:shd w:val="clear" w:color="auto" w:fill="auto"/>
            <w:vAlign w:val="center"/>
            <w:hideMark/>
          </w:tcPr>
          <w:p w14:paraId="56B59C38"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273 282 </w:t>
            </w:r>
          </w:p>
        </w:tc>
      </w:tr>
      <w:tr w:rsidR="00144A3D" w:rsidRPr="00144A3D" w14:paraId="5747B42E" w14:textId="77777777" w:rsidTr="00144A3D">
        <w:trPr>
          <w:trHeight w:val="300"/>
        </w:trPr>
        <w:tc>
          <w:tcPr>
            <w:tcW w:w="4800" w:type="dxa"/>
            <w:tcBorders>
              <w:top w:val="nil"/>
              <w:left w:val="nil"/>
              <w:bottom w:val="nil"/>
              <w:right w:val="nil"/>
            </w:tcBorders>
            <w:shd w:val="clear" w:color="auto" w:fill="auto"/>
            <w:noWrap/>
            <w:vAlign w:val="bottom"/>
            <w:hideMark/>
          </w:tcPr>
          <w:p w14:paraId="27E5062D" w14:textId="77777777" w:rsidR="00144A3D" w:rsidRPr="00144A3D" w:rsidRDefault="00144A3D" w:rsidP="00144A3D">
            <w:pPr>
              <w:ind w:right="0"/>
              <w:jc w:val="center"/>
              <w:rPr>
                <w:color w:val="000000"/>
                <w:sz w:val="22"/>
                <w:szCs w:val="22"/>
                <w:lang w:val="es-419" w:eastAsia="es-419"/>
              </w:rPr>
            </w:pPr>
          </w:p>
        </w:tc>
        <w:tc>
          <w:tcPr>
            <w:tcW w:w="220" w:type="dxa"/>
            <w:tcBorders>
              <w:top w:val="nil"/>
              <w:left w:val="nil"/>
              <w:bottom w:val="nil"/>
              <w:right w:val="nil"/>
            </w:tcBorders>
            <w:shd w:val="clear" w:color="auto" w:fill="auto"/>
            <w:noWrap/>
            <w:vAlign w:val="center"/>
            <w:hideMark/>
          </w:tcPr>
          <w:p w14:paraId="182AB601"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w:t>
            </w:r>
          </w:p>
        </w:tc>
        <w:tc>
          <w:tcPr>
            <w:tcW w:w="1471" w:type="dxa"/>
            <w:tcBorders>
              <w:top w:val="nil"/>
              <w:left w:val="nil"/>
              <w:bottom w:val="double" w:sz="6" w:space="0" w:color="auto"/>
              <w:right w:val="nil"/>
            </w:tcBorders>
            <w:shd w:val="clear" w:color="auto" w:fill="auto"/>
            <w:vAlign w:val="center"/>
            <w:hideMark/>
          </w:tcPr>
          <w:p w14:paraId="39950D0B"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5 007 262 </w:t>
            </w:r>
          </w:p>
        </w:tc>
        <w:tc>
          <w:tcPr>
            <w:tcW w:w="135" w:type="dxa"/>
            <w:tcBorders>
              <w:top w:val="nil"/>
              <w:left w:val="nil"/>
              <w:bottom w:val="nil"/>
              <w:right w:val="nil"/>
            </w:tcBorders>
            <w:shd w:val="clear" w:color="auto" w:fill="auto"/>
            <w:noWrap/>
            <w:vAlign w:val="bottom"/>
            <w:hideMark/>
          </w:tcPr>
          <w:p w14:paraId="2622402E" w14:textId="77777777" w:rsidR="00144A3D" w:rsidRPr="00144A3D" w:rsidRDefault="00144A3D" w:rsidP="00144A3D">
            <w:pPr>
              <w:ind w:right="0"/>
              <w:jc w:val="center"/>
              <w:rPr>
                <w:color w:val="000000"/>
                <w:sz w:val="22"/>
                <w:szCs w:val="22"/>
                <w:lang w:val="es-419" w:eastAsia="es-419"/>
              </w:rPr>
            </w:pPr>
          </w:p>
        </w:tc>
        <w:tc>
          <w:tcPr>
            <w:tcW w:w="1534" w:type="dxa"/>
            <w:tcBorders>
              <w:top w:val="nil"/>
              <w:left w:val="nil"/>
              <w:bottom w:val="double" w:sz="6" w:space="0" w:color="auto"/>
              <w:right w:val="nil"/>
            </w:tcBorders>
            <w:shd w:val="clear" w:color="auto" w:fill="auto"/>
            <w:vAlign w:val="center"/>
            <w:hideMark/>
          </w:tcPr>
          <w:p w14:paraId="0B04EEBE" w14:textId="77777777" w:rsidR="00144A3D" w:rsidRPr="00144A3D" w:rsidRDefault="00144A3D" w:rsidP="00144A3D">
            <w:pPr>
              <w:ind w:right="0"/>
              <w:jc w:val="center"/>
              <w:rPr>
                <w:color w:val="000000"/>
                <w:sz w:val="22"/>
                <w:szCs w:val="22"/>
                <w:lang w:val="es-419" w:eastAsia="es-419"/>
              </w:rPr>
            </w:pPr>
            <w:r w:rsidRPr="00144A3D">
              <w:rPr>
                <w:color w:val="000000"/>
                <w:sz w:val="22"/>
                <w:szCs w:val="22"/>
                <w:lang w:val="es-419" w:eastAsia="es-419"/>
              </w:rPr>
              <w:t xml:space="preserve">       5 223 272 </w:t>
            </w:r>
          </w:p>
        </w:tc>
      </w:tr>
    </w:tbl>
    <w:p w14:paraId="61D9365E" w14:textId="77777777" w:rsidR="00A65F5F" w:rsidRDefault="00A65F5F" w:rsidP="00A65F5F">
      <w:pPr>
        <w:ind w:left="-180" w:right="-25"/>
        <w:jc w:val="center"/>
      </w:pPr>
    </w:p>
    <w:p w14:paraId="65078CA3" w14:textId="4A9C4640" w:rsidR="00EC21A5" w:rsidRDefault="00EC21A5" w:rsidP="00A65F5F">
      <w:pPr>
        <w:ind w:left="-180" w:right="-25"/>
        <w:jc w:val="center"/>
      </w:pPr>
    </w:p>
    <w:p w14:paraId="7EEF938B" w14:textId="36936659" w:rsidR="00677EAB" w:rsidRDefault="00677EAB" w:rsidP="00677EAB">
      <w:pPr>
        <w:ind w:left="-180" w:right="-25"/>
        <w:jc w:val="center"/>
      </w:pPr>
    </w:p>
    <w:p w14:paraId="68A2AC26" w14:textId="77777777" w:rsidR="001A2FC2" w:rsidRPr="005B7289" w:rsidRDefault="00B348DF" w:rsidP="005B7289">
      <w:bookmarkStart w:id="2423" w:name="_Toc343676069"/>
      <w:bookmarkStart w:id="2424" w:name="_Toc358619432"/>
      <w:bookmarkStart w:id="2425" w:name="_Toc358620697"/>
      <w:bookmarkStart w:id="2426" w:name="_Toc358621904"/>
      <w:bookmarkStart w:id="2427" w:name="_Toc358622881"/>
      <w:bookmarkStart w:id="2428" w:name="_Toc452974032"/>
      <w:bookmarkStart w:id="2429" w:name="_Toc453057930"/>
      <w:r>
        <w:t>No se prevé en el corto plazo planes para construir o expandir instalaciones.  Solamente se continua con el mantenimiento habitual de los activos.</w:t>
      </w:r>
    </w:p>
    <w:p w14:paraId="43B30F23" w14:textId="77777777" w:rsidR="005B7289" w:rsidRPr="005B7289" w:rsidRDefault="005B7289" w:rsidP="005B7289"/>
    <w:p w14:paraId="475889AE" w14:textId="77777777" w:rsidR="00A65F5F" w:rsidRPr="00AC56C7" w:rsidRDefault="00A65F5F" w:rsidP="00A65F5F">
      <w:pPr>
        <w:pStyle w:val="Ttulo3"/>
        <w:ind w:left="0"/>
      </w:pPr>
      <w:bookmarkStart w:id="2430" w:name="_Toc26357169"/>
      <w:bookmarkStart w:id="2431" w:name="_Toc138664957"/>
      <w:r w:rsidRPr="00AC56C7">
        <w:t>Seguros</w:t>
      </w:r>
      <w:bookmarkEnd w:id="2423"/>
      <w:bookmarkEnd w:id="2424"/>
      <w:bookmarkEnd w:id="2425"/>
      <w:bookmarkEnd w:id="2426"/>
      <w:bookmarkEnd w:id="2427"/>
      <w:bookmarkEnd w:id="2428"/>
      <w:bookmarkEnd w:id="2429"/>
      <w:bookmarkEnd w:id="2430"/>
      <w:bookmarkEnd w:id="2431"/>
    </w:p>
    <w:p w14:paraId="2AA6BB7E" w14:textId="77777777" w:rsidR="00A65F5F" w:rsidRPr="00AC56C7" w:rsidRDefault="00A65F5F" w:rsidP="00A65F5F">
      <w:pPr>
        <w:ind w:right="-25"/>
      </w:pPr>
    </w:p>
    <w:p w14:paraId="59739E19" w14:textId="77777777" w:rsidR="00A65F5F" w:rsidRPr="00AC56C7" w:rsidRDefault="00A65F5F" w:rsidP="00A65F5F">
      <w:pPr>
        <w:ind w:right="-25"/>
      </w:pPr>
      <w:r w:rsidRPr="00AC56C7">
        <w:t>El Grupo ICE tiene suscrita la póliza U-500 la cual cuenta con las siguientes coberturas</w:t>
      </w:r>
    </w:p>
    <w:p w14:paraId="4385104E" w14:textId="77777777" w:rsidR="00A65F5F" w:rsidRPr="00AC56C7" w:rsidRDefault="00A65F5F" w:rsidP="00A65F5F">
      <w:pPr>
        <w:ind w:right="-25" w:firstLine="708"/>
      </w:pPr>
    </w:p>
    <w:p w14:paraId="62CF5767" w14:textId="77777777" w:rsidR="00A65F5F" w:rsidRPr="00AC56C7" w:rsidRDefault="00A65F5F" w:rsidP="00A65F5F">
      <w:pPr>
        <w:rPr>
          <w:i/>
          <w:iCs/>
          <w:sz w:val="22"/>
          <w:szCs w:val="22"/>
          <w:u w:val="single"/>
          <w:lang w:val="es-CR" w:eastAsia="en-US"/>
        </w:rPr>
      </w:pPr>
      <w:r w:rsidRPr="00AC56C7">
        <w:rPr>
          <w:i/>
          <w:iCs/>
          <w:u w:val="single"/>
        </w:rPr>
        <w:t>Todo Riesgo a la Propiedad</w:t>
      </w:r>
    </w:p>
    <w:p w14:paraId="4758E6CE" w14:textId="77777777" w:rsidR="00A65F5F" w:rsidRPr="00AC56C7" w:rsidRDefault="00A65F5F" w:rsidP="00A65F5F">
      <w:r w:rsidRPr="00AC56C7">
        <w:t xml:space="preserve">Todo riesgo de daño físico a la propiedad (eventos de la naturaleza y antrópicos), rotura de </w:t>
      </w:r>
      <w:r w:rsidRPr="00C863A6">
        <w:t xml:space="preserve">maquinaria,  gastos extras y/o incremento en el costo de operaciones, interrupción de negocios, </w:t>
      </w:r>
      <w:r w:rsidR="00EC21A5" w:rsidRPr="00C863A6">
        <w:t xml:space="preserve">e interrupción de negocios contingente, </w:t>
      </w:r>
      <w:r w:rsidRPr="00C863A6">
        <w:t>asalto y/o robo con violencia y/o intimidación a personas, excluyendo dinero (efectivo</w:t>
      </w:r>
      <w:r w:rsidRPr="00AC56C7">
        <w:t xml:space="preserve">) y valores convertibles en dinero, propiedad en tránsito terrestre incidental, excluyendo dinero (efectivo) y valores convertibles en dinero, remoción de escombros, gastos de limpieza, documentos, modelos, honorarios de consultores profesionales, propiedad en proceso de construcción, traslado temporal de bienes, adquisición automática de bienes, reconstrucción de registros magnéticos, reposición de libros, errores y omisiones, gastos de extinción de incendios, gastos para agilizar la recuperación, bienes bajo custodia y control del asegurado, robo de cable.  Terrorismo y sabotaje, responsabilidad civil y profesional y delitos comerciales. </w:t>
      </w:r>
    </w:p>
    <w:p w14:paraId="389B4541" w14:textId="77777777" w:rsidR="00A65F5F" w:rsidRPr="00AC56C7" w:rsidRDefault="00A65F5F" w:rsidP="00A65F5F">
      <w:pPr>
        <w:ind w:right="-25"/>
      </w:pPr>
    </w:p>
    <w:p w14:paraId="37BC8EFA" w14:textId="5649C183" w:rsidR="00A65F5F" w:rsidRPr="00B50D8B" w:rsidRDefault="00A65F5F" w:rsidP="00A65F5F">
      <w:pPr>
        <w:ind w:right="-25"/>
        <w:rPr>
          <w:b/>
        </w:rPr>
      </w:pPr>
      <w:r w:rsidRPr="00AC56C7">
        <w:rPr>
          <w:b/>
        </w:rPr>
        <w:t>Monto asegurado al 31 de diciembre de 20</w:t>
      </w:r>
      <w:r w:rsidR="002E1290">
        <w:rPr>
          <w:b/>
        </w:rPr>
        <w:t>2</w:t>
      </w:r>
      <w:r w:rsidR="00F63D7D">
        <w:rPr>
          <w:b/>
        </w:rPr>
        <w:t>2</w:t>
      </w:r>
      <w:r w:rsidRPr="00AC56C7">
        <w:rPr>
          <w:b/>
        </w:rPr>
        <w:t xml:space="preserve">: </w:t>
      </w:r>
      <w:r w:rsidR="00A51443">
        <w:rPr>
          <w:b/>
        </w:rPr>
        <w:t>4</w:t>
      </w:r>
      <w:r w:rsidR="00EC21A5" w:rsidRPr="00EC21A5">
        <w:rPr>
          <w:b/>
        </w:rPr>
        <w:t xml:space="preserve"> </w:t>
      </w:r>
      <w:r w:rsidR="006C5EB0">
        <w:rPr>
          <w:b/>
        </w:rPr>
        <w:t>0</w:t>
      </w:r>
      <w:r w:rsidR="00F63D7D">
        <w:rPr>
          <w:b/>
        </w:rPr>
        <w:t>60</w:t>
      </w:r>
      <w:r w:rsidR="00EC21A5" w:rsidRPr="00EC21A5">
        <w:rPr>
          <w:b/>
        </w:rPr>
        <w:t>.</w:t>
      </w:r>
      <w:r w:rsidR="00F63D7D">
        <w:rPr>
          <w:b/>
        </w:rPr>
        <w:t>2</w:t>
      </w:r>
      <w:r w:rsidR="00EC21A5" w:rsidRPr="00EC21A5">
        <w:rPr>
          <w:b/>
        </w:rPr>
        <w:t xml:space="preserve">  MUSD</w:t>
      </w:r>
    </w:p>
    <w:p w14:paraId="57C5E7C8" w14:textId="77777777" w:rsidR="00A65F5F" w:rsidRPr="00B50D8B" w:rsidRDefault="00A65F5F" w:rsidP="00A65F5F">
      <w:pPr>
        <w:ind w:right="-25"/>
      </w:pPr>
    </w:p>
    <w:p w14:paraId="5E59D120" w14:textId="77777777" w:rsidR="00AE5619" w:rsidRDefault="00AE5619" w:rsidP="00AE5619">
      <w:pPr>
        <w:rPr>
          <w:sz w:val="22"/>
          <w:szCs w:val="22"/>
          <w:lang w:val="es-CR" w:eastAsia="en-US"/>
        </w:rPr>
      </w:pPr>
    </w:p>
    <w:p w14:paraId="36B8A0ED" w14:textId="77777777" w:rsidR="00A65F5F" w:rsidRDefault="00A65F5F" w:rsidP="00A65F5F">
      <w:pPr>
        <w:ind w:right="-25"/>
      </w:pPr>
    </w:p>
    <w:p w14:paraId="640277F1" w14:textId="77777777" w:rsidR="00A65F5F" w:rsidRPr="006A4410" w:rsidRDefault="00A65F5F" w:rsidP="00EF0D70">
      <w:pPr>
        <w:pStyle w:val="Ttulo2"/>
        <w:numPr>
          <w:ilvl w:val="0"/>
          <w:numId w:val="47"/>
        </w:numPr>
      </w:pPr>
      <w:bookmarkStart w:id="2432" w:name="_Toc343676070"/>
      <w:bookmarkStart w:id="2433" w:name="_Toc358619433"/>
      <w:bookmarkStart w:id="2434" w:name="_Toc358620698"/>
      <w:bookmarkStart w:id="2435" w:name="_Toc358621905"/>
      <w:bookmarkStart w:id="2436" w:name="_Toc358622882"/>
      <w:bookmarkStart w:id="2437" w:name="_Toc26357170"/>
      <w:bookmarkStart w:id="2438" w:name="_Toc138664958"/>
      <w:r w:rsidRPr="00CB0A03">
        <w:t>Resultados</w:t>
      </w:r>
      <w:bookmarkStart w:id="2439" w:name="_Toc229150787"/>
      <w:bookmarkStart w:id="2440" w:name="_Toc231981231"/>
      <w:bookmarkStart w:id="2441" w:name="_Toc234672920"/>
      <w:bookmarkStart w:id="2442" w:name="_Toc234673030"/>
      <w:bookmarkStart w:id="2443" w:name="_Toc234673139"/>
      <w:bookmarkStart w:id="2444" w:name="_Toc234673248"/>
      <w:bookmarkStart w:id="2445" w:name="_Toc234673357"/>
      <w:bookmarkStart w:id="2446" w:name="_Toc234673576"/>
      <w:bookmarkStart w:id="2447" w:name="_Toc234673686"/>
      <w:bookmarkStart w:id="2448" w:name="_Toc234744102"/>
      <w:bookmarkStart w:id="2449" w:name="_Toc234744316"/>
      <w:bookmarkStart w:id="2450" w:name="_Toc234750746"/>
      <w:bookmarkStart w:id="2451" w:name="_Toc234750858"/>
      <w:bookmarkStart w:id="2452" w:name="_Toc234923950"/>
      <w:bookmarkStart w:id="2453" w:name="_Toc234925872"/>
      <w:bookmarkStart w:id="2454" w:name="_Toc235615305"/>
      <w:bookmarkStart w:id="2455" w:name="_Toc235616793"/>
      <w:bookmarkStart w:id="2456" w:name="_Toc235857041"/>
      <w:bookmarkStart w:id="2457" w:name="_Toc237334739"/>
      <w:bookmarkStart w:id="2458" w:name="_Toc237919692"/>
      <w:bookmarkStart w:id="2459" w:name="_Toc238276616"/>
      <w:bookmarkStart w:id="2460" w:name="_Toc238869559"/>
      <w:bookmarkStart w:id="2461" w:name="_Toc238873112"/>
      <w:bookmarkStart w:id="2462" w:name="_Toc238873485"/>
      <w:bookmarkStart w:id="2463" w:name="_Toc238877022"/>
      <w:bookmarkStart w:id="2464" w:name="_Toc240107391"/>
      <w:bookmarkStart w:id="2465" w:name="_Toc240159622"/>
      <w:bookmarkStart w:id="2466" w:name="_Toc240159774"/>
      <w:bookmarkStart w:id="2467" w:name="_Toc240255812"/>
      <w:bookmarkStart w:id="2468" w:name="_Toc240267716"/>
      <w:bookmarkStart w:id="2469" w:name="_Toc240267827"/>
      <w:bookmarkStart w:id="2470" w:name="_Toc240268220"/>
      <w:bookmarkStart w:id="2471" w:name="_Toc240268475"/>
      <w:bookmarkStart w:id="2472" w:name="_Toc240268588"/>
      <w:bookmarkStart w:id="2473" w:name="_Toc240268699"/>
      <w:bookmarkStart w:id="2474" w:name="_Toc240454290"/>
      <w:bookmarkStart w:id="2475" w:name="_Toc240697975"/>
      <w:bookmarkStart w:id="2476" w:name="_Toc258937777"/>
      <w:bookmarkStart w:id="2477" w:name="_Toc261418427"/>
      <w:bookmarkStart w:id="2478" w:name="_Toc261458611"/>
      <w:bookmarkStart w:id="2479" w:name="_Toc261458999"/>
      <w:bookmarkStart w:id="2480" w:name="_Toc262203321"/>
      <w:bookmarkStart w:id="2481" w:name="_Toc262218658"/>
      <w:bookmarkStart w:id="2482" w:name="_Toc262319114"/>
      <w:bookmarkStart w:id="2483" w:name="_Toc262459008"/>
      <w:bookmarkStart w:id="2484" w:name="_Toc262459862"/>
      <w:bookmarkStart w:id="2485" w:name="_Toc262460277"/>
      <w:bookmarkStart w:id="2486" w:name="_Toc262460404"/>
      <w:bookmarkStart w:id="2487" w:name="_Toc262460531"/>
      <w:bookmarkStart w:id="2488" w:name="_Toc262481027"/>
      <w:bookmarkStart w:id="2489" w:name="_Toc262483217"/>
      <w:bookmarkStart w:id="2490" w:name="_Toc262483352"/>
      <w:bookmarkStart w:id="2491" w:name="_Toc262483488"/>
      <w:bookmarkStart w:id="2492" w:name="_Toc262483624"/>
      <w:bookmarkStart w:id="2493" w:name="_Toc262483759"/>
      <w:bookmarkStart w:id="2494" w:name="_Toc262483894"/>
      <w:bookmarkStart w:id="2495" w:name="_Toc304736446"/>
      <w:bookmarkStart w:id="2496" w:name="_Toc304736680"/>
      <w:bookmarkStart w:id="2497" w:name="_Toc304736928"/>
      <w:bookmarkStart w:id="2498" w:name="_Toc304737234"/>
      <w:bookmarkStart w:id="2499" w:name="_Toc326700929"/>
      <w:bookmarkStart w:id="2500" w:name="_Toc326701567"/>
      <w:bookmarkStart w:id="2501" w:name="_Toc326730913"/>
      <w:bookmarkStart w:id="2502" w:name="_Toc326731099"/>
      <w:bookmarkStart w:id="2503" w:name="_Toc326731597"/>
      <w:bookmarkStart w:id="2504" w:name="_Toc326732509"/>
      <w:bookmarkStart w:id="2505" w:name="_Toc326734240"/>
      <w:bookmarkStart w:id="2506" w:name="_Toc326735189"/>
      <w:bookmarkStart w:id="2507" w:name="_Toc326735500"/>
      <w:bookmarkStart w:id="2508" w:name="_Toc343676071"/>
      <w:bookmarkStart w:id="2509" w:name="_Toc358619434"/>
      <w:bookmarkStart w:id="2510" w:name="_Toc358620699"/>
      <w:bookmarkStart w:id="2511" w:name="_Toc358621906"/>
      <w:bookmarkStart w:id="2512" w:name="_Toc358622883"/>
      <w:bookmarkStart w:id="2513" w:name="_Toc358623011"/>
      <w:bookmarkStart w:id="2514" w:name="_Toc390247941"/>
      <w:bookmarkStart w:id="2515" w:name="_Toc421258452"/>
      <w:bookmarkStart w:id="2516" w:name="_Toc421264520"/>
      <w:bookmarkStart w:id="2517" w:name="_Toc421264764"/>
      <w:bookmarkStart w:id="2518" w:name="_Toc421265079"/>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14:paraId="4DC03C34" w14:textId="77777777" w:rsidR="007000A7" w:rsidRDefault="00A65F5F" w:rsidP="00EF0D70">
      <w:pPr>
        <w:pStyle w:val="Ttulo3"/>
        <w:numPr>
          <w:ilvl w:val="1"/>
          <w:numId w:val="47"/>
        </w:numPr>
      </w:pPr>
      <w:bookmarkStart w:id="2519" w:name="_Toc304737235"/>
      <w:bookmarkStart w:id="2520" w:name="_Toc343676072"/>
      <w:bookmarkStart w:id="2521" w:name="_Toc358619435"/>
      <w:bookmarkStart w:id="2522" w:name="_Toc358620700"/>
      <w:bookmarkStart w:id="2523" w:name="_Toc358621907"/>
      <w:bookmarkStart w:id="2524" w:name="_Toc358622884"/>
      <w:bookmarkStart w:id="2525" w:name="_Toc26357171"/>
      <w:bookmarkStart w:id="2526" w:name="_Toc138664959"/>
      <w:r w:rsidRPr="006C380F">
        <w:t>Resultados de Operación y Financieros</w:t>
      </w:r>
      <w:bookmarkEnd w:id="2519"/>
      <w:bookmarkEnd w:id="2520"/>
      <w:bookmarkEnd w:id="2521"/>
      <w:bookmarkEnd w:id="2522"/>
      <w:bookmarkEnd w:id="2523"/>
      <w:bookmarkEnd w:id="2524"/>
      <w:bookmarkEnd w:id="2525"/>
      <w:bookmarkEnd w:id="2526"/>
    </w:p>
    <w:p w14:paraId="62D2870E" w14:textId="77777777" w:rsidR="007000A7" w:rsidRDefault="007000A7" w:rsidP="007000A7"/>
    <w:p w14:paraId="41942111" w14:textId="77777777" w:rsidR="007000A7" w:rsidRDefault="007000A7" w:rsidP="007000A7"/>
    <w:p w14:paraId="6AC5621D" w14:textId="66919F8C" w:rsidR="007000A7" w:rsidRDefault="007000A7" w:rsidP="007000A7">
      <w:pPr>
        <w:pStyle w:val="Prrafodelista"/>
        <w:tabs>
          <w:tab w:val="left" w:pos="990"/>
        </w:tabs>
        <w:autoSpaceDE w:val="0"/>
        <w:autoSpaceDN w:val="0"/>
        <w:adjustRightInd w:val="0"/>
        <w:ind w:left="426"/>
        <w:rPr>
          <w:b/>
          <w:lang w:val="es-PA"/>
        </w:rPr>
      </w:pPr>
      <w:r w:rsidRPr="0043767A">
        <w:rPr>
          <w:b/>
          <w:lang w:val="es-PA"/>
        </w:rPr>
        <w:t>Resultados de Operación al 31 de Diciembre de 20</w:t>
      </w:r>
      <w:r w:rsidR="00A33C9A" w:rsidRPr="0043767A">
        <w:rPr>
          <w:b/>
          <w:lang w:val="es-PA"/>
        </w:rPr>
        <w:t>2</w:t>
      </w:r>
      <w:r w:rsidR="00F63D7D">
        <w:rPr>
          <w:b/>
          <w:lang w:val="es-PA"/>
        </w:rPr>
        <w:t>2</w:t>
      </w:r>
    </w:p>
    <w:p w14:paraId="3151E3AE" w14:textId="77777777" w:rsidR="007000A7" w:rsidRPr="006267B3" w:rsidRDefault="007000A7" w:rsidP="007000A7">
      <w:pPr>
        <w:pStyle w:val="Prrafodelista"/>
        <w:tabs>
          <w:tab w:val="left" w:pos="990"/>
        </w:tabs>
        <w:autoSpaceDE w:val="0"/>
        <w:autoSpaceDN w:val="0"/>
        <w:adjustRightInd w:val="0"/>
        <w:ind w:left="426"/>
        <w:rPr>
          <w:b/>
          <w:color w:val="000000" w:themeColor="text1"/>
          <w:lang w:val="es-PA"/>
        </w:rPr>
      </w:pPr>
    </w:p>
    <w:p w14:paraId="2D98487A" w14:textId="77777777" w:rsidR="00EA1031" w:rsidRPr="00AC56C7" w:rsidRDefault="00EA1031" w:rsidP="00EA1031">
      <w:pPr>
        <w:ind w:right="0"/>
      </w:pPr>
      <w:r w:rsidRPr="00AC56C7">
        <w:t>Margen operativo:</w:t>
      </w:r>
    </w:p>
    <w:p w14:paraId="462147FD" w14:textId="77777777" w:rsidR="00EA1031" w:rsidRPr="00AC56C7" w:rsidRDefault="00EA1031" w:rsidP="00EA1031">
      <w:pPr>
        <w:ind w:right="0"/>
      </w:pPr>
    </w:p>
    <w:p w14:paraId="05D37C52" w14:textId="27E1BCDB" w:rsidR="00EA1031" w:rsidRPr="00AC56C7" w:rsidRDefault="00EA1031" w:rsidP="00EA1031">
      <w:pPr>
        <w:ind w:right="0"/>
      </w:pPr>
      <w:r w:rsidRPr="0043767A">
        <w:t>Al 31 de diciembre 20</w:t>
      </w:r>
      <w:r w:rsidR="00651C81" w:rsidRPr="0043767A">
        <w:t>2</w:t>
      </w:r>
      <w:r w:rsidR="00F63D7D">
        <w:t>2</w:t>
      </w:r>
      <w:r w:rsidRPr="0043767A">
        <w:t xml:space="preserve"> (cifras auditadas),</w:t>
      </w:r>
      <w:r w:rsidRPr="00AC56C7">
        <w:t xml:space="preserve"> el margen de operación consolidado del ICE y sus empresas fue de </w:t>
      </w:r>
      <w:r w:rsidR="005C3131">
        <w:t>20</w:t>
      </w:r>
      <w:r w:rsidR="004A5B00">
        <w:t>.</w:t>
      </w:r>
      <w:r w:rsidR="00594132">
        <w:t>8</w:t>
      </w:r>
      <w:r w:rsidRPr="00AC56C7">
        <w:t xml:space="preserve">%, el cual supera la meta establecida en las proyecciones financieras derivadas de la Estrategia 4.0, el cual se estableció en </w:t>
      </w:r>
      <w:r w:rsidR="004A5B00">
        <w:t>11</w:t>
      </w:r>
      <w:r w:rsidRPr="00AC56C7">
        <w:t xml:space="preserve">%. </w:t>
      </w:r>
    </w:p>
    <w:p w14:paraId="1D550D3D" w14:textId="77777777" w:rsidR="00EA1031" w:rsidRPr="00AC56C7" w:rsidRDefault="00EA1031" w:rsidP="00EA1031">
      <w:pPr>
        <w:ind w:right="0"/>
      </w:pPr>
    </w:p>
    <w:p w14:paraId="62E9A085" w14:textId="77777777" w:rsidR="00EA1031" w:rsidRPr="00AC56C7" w:rsidRDefault="00EA1031" w:rsidP="00EA1031">
      <w:pPr>
        <w:ind w:right="0"/>
      </w:pPr>
    </w:p>
    <w:p w14:paraId="37BFF378" w14:textId="77777777" w:rsidR="00EA1031" w:rsidRPr="00AC56C7" w:rsidRDefault="00EA1031" w:rsidP="00EA1031">
      <w:pPr>
        <w:ind w:right="0"/>
      </w:pPr>
      <w:r w:rsidRPr="00AC56C7">
        <w:t>Margen neto:</w:t>
      </w:r>
    </w:p>
    <w:p w14:paraId="59EC24AC" w14:textId="77777777" w:rsidR="00EA1031" w:rsidRPr="00AC56C7" w:rsidRDefault="00EA1031" w:rsidP="00EA1031">
      <w:pPr>
        <w:ind w:right="0"/>
      </w:pPr>
    </w:p>
    <w:p w14:paraId="5347D1C5" w14:textId="5E008873" w:rsidR="00EA1031" w:rsidRDefault="00EA1031" w:rsidP="00EA1031">
      <w:pPr>
        <w:ind w:right="0"/>
        <w:rPr>
          <w:rFonts w:ascii="Arial" w:hAnsi="Arial" w:cs="Arial"/>
          <w:color w:val="1F497D"/>
        </w:rPr>
      </w:pPr>
      <w:r w:rsidRPr="0043767A">
        <w:t>Al 31 de diciembre 20</w:t>
      </w:r>
      <w:r w:rsidR="00651C81" w:rsidRPr="0043767A">
        <w:t>2</w:t>
      </w:r>
      <w:r w:rsidR="002022F2">
        <w:t>2</w:t>
      </w:r>
      <w:r w:rsidRPr="0043767A">
        <w:t xml:space="preserve"> (</w:t>
      </w:r>
      <w:r w:rsidRPr="00AC56C7">
        <w:t xml:space="preserve">cifras auditadas), el Margen Neto del Grupo alcanzó un </w:t>
      </w:r>
      <w:r w:rsidR="0016634F" w:rsidRPr="00AC56C7">
        <w:t xml:space="preserve">nivel </w:t>
      </w:r>
      <w:r w:rsidR="0016634F">
        <w:t>de</w:t>
      </w:r>
      <w:r w:rsidRPr="00AC56C7">
        <w:t xml:space="preserve"> </w:t>
      </w:r>
      <w:r w:rsidR="007552B5">
        <w:t xml:space="preserve">13.1%, desde un nivel negativo de </w:t>
      </w:r>
      <w:r w:rsidR="00594132">
        <w:t>7</w:t>
      </w:r>
      <w:r w:rsidR="00651C81">
        <w:t>.</w:t>
      </w:r>
      <w:r w:rsidR="00594132">
        <w:t>0</w:t>
      </w:r>
      <w:r w:rsidRPr="00AC56C7">
        <w:t>%</w:t>
      </w:r>
      <w:r w:rsidR="007552B5">
        <w:t xml:space="preserve"> del año 2021</w:t>
      </w:r>
      <w:r w:rsidRPr="00AC56C7">
        <w:t xml:space="preserve">, </w:t>
      </w:r>
      <w:r w:rsidR="00651C81">
        <w:t xml:space="preserve">dado </w:t>
      </w:r>
      <w:r w:rsidR="00594132">
        <w:t xml:space="preserve">principalmente por </w:t>
      </w:r>
      <w:r w:rsidR="000279A5">
        <w:t>el aumento del excedente de operación</w:t>
      </w:r>
      <w:r w:rsidR="00651C81">
        <w:t>.</w:t>
      </w:r>
    </w:p>
    <w:p w14:paraId="05475301" w14:textId="77777777" w:rsidR="00AC183A" w:rsidRPr="00D74F7D" w:rsidRDefault="00AC183A" w:rsidP="007000A7">
      <w:pPr>
        <w:pStyle w:val="Prrafodelista"/>
        <w:tabs>
          <w:tab w:val="left" w:pos="990"/>
        </w:tabs>
        <w:autoSpaceDE w:val="0"/>
        <w:autoSpaceDN w:val="0"/>
        <w:adjustRightInd w:val="0"/>
        <w:spacing w:line="360" w:lineRule="auto"/>
        <w:ind w:left="426"/>
        <w:rPr>
          <w:highlight w:val="yellow"/>
        </w:rPr>
      </w:pPr>
    </w:p>
    <w:p w14:paraId="1C47F813" w14:textId="6B3A85C8" w:rsidR="00AC183A" w:rsidRPr="00AC183A" w:rsidRDefault="00AC183A" w:rsidP="00AC183A">
      <w:pPr>
        <w:ind w:left="426"/>
      </w:pPr>
      <w:r w:rsidRPr="00B318A5">
        <w:t>La institución viene trabajando en una hoja de ruta financiera que garantice la estabilización y sostenibilidad financiera del grupo ICE, para ello se han establecido una serie de m</w:t>
      </w:r>
      <w:r w:rsidR="0043767A">
        <w:t>etas a cumplir para el año 2023</w:t>
      </w:r>
      <w:r w:rsidRPr="00B318A5">
        <w:t>:</w:t>
      </w:r>
    </w:p>
    <w:p w14:paraId="1004B8E9" w14:textId="77777777" w:rsidR="00AC183A" w:rsidRPr="00AC183A" w:rsidRDefault="00AC183A" w:rsidP="00AC183A"/>
    <w:p w14:paraId="20368B7A" w14:textId="77777777" w:rsidR="00AC183A" w:rsidRPr="00AC183A" w:rsidRDefault="00AC183A" w:rsidP="00EF0D70">
      <w:pPr>
        <w:pStyle w:val="Prrafodelista"/>
        <w:numPr>
          <w:ilvl w:val="0"/>
          <w:numId w:val="62"/>
        </w:numPr>
        <w:ind w:right="0"/>
        <w:jc w:val="left"/>
      </w:pPr>
      <w:r w:rsidRPr="00AC183A">
        <w:t>Alcanzar un margen EBITDA de al menos un 30.9%</w:t>
      </w:r>
    </w:p>
    <w:p w14:paraId="67919013" w14:textId="77777777" w:rsidR="00AC183A" w:rsidRPr="00AC183A" w:rsidRDefault="00AC183A" w:rsidP="00EF0D70">
      <w:pPr>
        <w:pStyle w:val="Prrafodelista"/>
        <w:numPr>
          <w:ilvl w:val="0"/>
          <w:numId w:val="62"/>
        </w:numPr>
        <w:ind w:right="0"/>
        <w:jc w:val="left"/>
      </w:pPr>
      <w:r w:rsidRPr="00AC183A">
        <w:t>Generar una relación favorable entre ingresos, costos y gastos que permitan alcanzar un margen operativo mayor al 12,3%</w:t>
      </w:r>
    </w:p>
    <w:p w14:paraId="5651110D" w14:textId="77777777" w:rsidR="00AC183A" w:rsidRPr="00AC183A" w:rsidRDefault="00AC183A" w:rsidP="00EF0D70">
      <w:pPr>
        <w:pStyle w:val="Prrafodelista"/>
        <w:numPr>
          <w:ilvl w:val="0"/>
          <w:numId w:val="62"/>
        </w:numPr>
        <w:ind w:right="0"/>
        <w:jc w:val="left"/>
      </w:pPr>
      <w:r w:rsidRPr="00AC183A">
        <w:t>Rentabilizar las inversiones para alcanzar un rendimiento de por lo menos 5 %</w:t>
      </w:r>
    </w:p>
    <w:p w14:paraId="7F080BFE" w14:textId="77777777" w:rsidR="00AC183A" w:rsidRPr="00AC183A" w:rsidRDefault="00AC183A" w:rsidP="00EF0D70">
      <w:pPr>
        <w:pStyle w:val="Prrafodelista"/>
        <w:numPr>
          <w:ilvl w:val="0"/>
          <w:numId w:val="62"/>
        </w:numPr>
        <w:ind w:right="0"/>
        <w:jc w:val="left"/>
      </w:pPr>
      <w:r w:rsidRPr="00AC183A">
        <w:t>Entre otros</w:t>
      </w:r>
    </w:p>
    <w:p w14:paraId="72C0FB2B" w14:textId="77777777" w:rsidR="00A65F5F" w:rsidRPr="00670E95" w:rsidRDefault="00A65F5F" w:rsidP="00A65F5F">
      <w:pPr>
        <w:ind w:left="-567" w:right="-25"/>
      </w:pPr>
    </w:p>
    <w:p w14:paraId="70709009" w14:textId="77777777" w:rsidR="00A65F5F" w:rsidRPr="008D551B" w:rsidRDefault="008D551B" w:rsidP="00A65F5F">
      <w:pPr>
        <w:ind w:left="-567" w:right="-25"/>
        <w:rPr>
          <w:u w:val="single"/>
        </w:rPr>
      </w:pPr>
      <w:r w:rsidRPr="008D551B">
        <w:rPr>
          <w:u w:val="single"/>
        </w:rPr>
        <w:t>Estrategia 4.0</w:t>
      </w:r>
      <w:r>
        <w:rPr>
          <w:u w:val="single"/>
        </w:rPr>
        <w:t xml:space="preserve"> (La estrategia completa se puede consultar en la página www.grupoice.com)</w:t>
      </w:r>
    </w:p>
    <w:p w14:paraId="2952AD5F" w14:textId="77777777" w:rsidR="008D551B" w:rsidRPr="008D551B" w:rsidRDefault="008D551B" w:rsidP="00A65F5F">
      <w:pPr>
        <w:ind w:left="-567" w:right="-25"/>
        <w:rPr>
          <w:u w:val="single"/>
        </w:rPr>
      </w:pPr>
    </w:p>
    <w:p w14:paraId="63D1D1FA" w14:textId="77777777" w:rsidR="008D551B" w:rsidRPr="008D551B" w:rsidRDefault="008D551B" w:rsidP="00A65F5F">
      <w:pPr>
        <w:ind w:left="-567" w:right="-25"/>
        <w:rPr>
          <w:b/>
        </w:rPr>
      </w:pPr>
      <w:r w:rsidRPr="008D551B">
        <w:rPr>
          <w:b/>
        </w:rPr>
        <w:t>Enfoque en las 5E</w:t>
      </w:r>
    </w:p>
    <w:p w14:paraId="03715411" w14:textId="77777777" w:rsidR="008D551B" w:rsidRPr="008D551B" w:rsidRDefault="008D551B" w:rsidP="00A65F5F">
      <w:pPr>
        <w:ind w:left="-567" w:right="-25"/>
        <w:rPr>
          <w:b/>
        </w:rPr>
      </w:pPr>
    </w:p>
    <w:p w14:paraId="2DB2C766" w14:textId="77777777" w:rsidR="008D551B" w:rsidRPr="008D551B" w:rsidRDefault="008D551B" w:rsidP="00A65F5F">
      <w:pPr>
        <w:ind w:left="-567" w:right="-25"/>
        <w:rPr>
          <w:rFonts w:eastAsiaTheme="minorHAnsi"/>
          <w:lang w:val="es-CR" w:eastAsia="en-US"/>
        </w:rPr>
      </w:pPr>
      <w:r w:rsidRPr="008D551B">
        <w:rPr>
          <w:rFonts w:eastAsiaTheme="minorHAnsi"/>
          <w:lang w:val="es-CR" w:eastAsia="en-US"/>
        </w:rPr>
        <w:t>Estabilización y sostenibilidad financiera:</w:t>
      </w:r>
    </w:p>
    <w:p w14:paraId="3E9868E0" w14:textId="77777777" w:rsidR="008D551B" w:rsidRPr="008D551B" w:rsidRDefault="008D551B" w:rsidP="00A65F5F">
      <w:pPr>
        <w:ind w:left="-567" w:right="-25"/>
        <w:rPr>
          <w:rFonts w:eastAsiaTheme="minorHAnsi"/>
          <w:lang w:val="es-CR" w:eastAsia="en-US"/>
        </w:rPr>
      </w:pPr>
    </w:p>
    <w:p w14:paraId="77FC2486"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a. Garantizar la Sostenibilidad Financiera del Grupo ICE.</w:t>
      </w:r>
    </w:p>
    <w:p w14:paraId="1F123001"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b. Generar una relación favorable entre ingresos, costos y gastos financieros.</w:t>
      </w:r>
    </w:p>
    <w:p w14:paraId="17C84BA4"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c. Rentabilizar las inversiones.</w:t>
      </w:r>
    </w:p>
    <w:p w14:paraId="7A0A8BAC"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d. Reducir las presiones al flujo de caja.</w:t>
      </w:r>
    </w:p>
    <w:p w14:paraId="019D2F10" w14:textId="77777777" w:rsidR="008D551B" w:rsidRPr="00D74F7D" w:rsidRDefault="008D551B" w:rsidP="008D551B">
      <w:pPr>
        <w:ind w:left="-567" w:right="-25"/>
        <w:rPr>
          <w:rFonts w:eastAsiaTheme="minorHAnsi"/>
          <w:lang w:val="es-CR" w:eastAsia="en-US"/>
        </w:rPr>
      </w:pPr>
      <w:r w:rsidRPr="00D74F7D">
        <w:rPr>
          <w:rFonts w:eastAsiaTheme="minorHAnsi"/>
          <w:lang w:val="es-CR" w:eastAsia="en-US"/>
        </w:rPr>
        <w:t xml:space="preserve">          c. Gestionar los pasivos y reducir el nivel de endeudamiento.</w:t>
      </w:r>
    </w:p>
    <w:p w14:paraId="062329BF" w14:textId="77777777" w:rsidR="008D551B" w:rsidRPr="00D74F7D" w:rsidRDefault="008D551B" w:rsidP="008D551B">
      <w:pPr>
        <w:ind w:left="-567" w:right="-25"/>
        <w:rPr>
          <w:rFonts w:eastAsiaTheme="minorHAnsi"/>
          <w:lang w:val="es-CR" w:eastAsia="en-US"/>
        </w:rPr>
      </w:pPr>
    </w:p>
    <w:p w14:paraId="0E0528F5" w14:textId="77777777" w:rsidR="008D551B" w:rsidRPr="00D74F7D" w:rsidRDefault="008D551B" w:rsidP="008D551B">
      <w:pPr>
        <w:ind w:left="-567" w:right="-25"/>
        <w:rPr>
          <w:rFonts w:eastAsiaTheme="minorHAnsi"/>
          <w:lang w:val="es-CR" w:eastAsia="en-US"/>
        </w:rPr>
      </w:pPr>
      <w:r w:rsidRPr="00D74F7D">
        <w:rPr>
          <w:rFonts w:eastAsiaTheme="minorHAnsi"/>
          <w:lang w:val="es-CR" w:eastAsia="en-US"/>
        </w:rPr>
        <w:t>Evolución de los negocios y experiencia del cliente:</w:t>
      </w:r>
    </w:p>
    <w:p w14:paraId="7700F030" w14:textId="77777777" w:rsidR="008D551B" w:rsidRPr="00D74F7D" w:rsidRDefault="008D551B" w:rsidP="008D551B">
      <w:pPr>
        <w:ind w:left="-567" w:right="-25"/>
        <w:rPr>
          <w:rFonts w:eastAsiaTheme="minorHAnsi"/>
          <w:lang w:val="es-CR" w:eastAsia="en-US"/>
        </w:rPr>
      </w:pPr>
    </w:p>
    <w:p w14:paraId="7A0B504F"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a. Reducir los tiempos de instalación de soluciones y atención de averías.</w:t>
      </w:r>
    </w:p>
    <w:p w14:paraId="1F14E841"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b. Retener los clientes para mantener la participación de mercado dominante.</w:t>
      </w:r>
    </w:p>
    <w:p w14:paraId="001EBB57"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c. Incrementar la cantidad de clientes, productos y servicios del portafolio de negocios</w:t>
      </w:r>
    </w:p>
    <w:p w14:paraId="3605B526" w14:textId="77777777" w:rsidR="008D551B" w:rsidRPr="00D74F7D" w:rsidRDefault="008D551B" w:rsidP="008D551B">
      <w:pPr>
        <w:autoSpaceDE w:val="0"/>
        <w:autoSpaceDN w:val="0"/>
        <w:adjustRightInd w:val="0"/>
        <w:ind w:right="0"/>
        <w:jc w:val="left"/>
        <w:rPr>
          <w:rFonts w:eastAsiaTheme="minorHAnsi"/>
          <w:lang w:val="es-CR" w:eastAsia="en-US"/>
        </w:rPr>
      </w:pPr>
      <w:r w:rsidRPr="00D74F7D">
        <w:rPr>
          <w:rFonts w:eastAsiaTheme="minorHAnsi"/>
          <w:lang w:val="es-CR" w:eastAsia="en-US"/>
        </w:rPr>
        <w:t>del Grupo ICE.</w:t>
      </w:r>
    </w:p>
    <w:p w14:paraId="140343A8" w14:textId="77777777" w:rsidR="008D551B" w:rsidRPr="00D74F7D" w:rsidRDefault="008D551B" w:rsidP="008D551B">
      <w:pPr>
        <w:ind w:left="-567" w:right="-25"/>
        <w:rPr>
          <w:rFonts w:eastAsiaTheme="minorHAnsi"/>
          <w:lang w:val="es-CR" w:eastAsia="en-US"/>
        </w:rPr>
      </w:pPr>
      <w:r w:rsidRPr="00D74F7D">
        <w:rPr>
          <w:rFonts w:eastAsiaTheme="minorHAnsi"/>
          <w:lang w:val="es-CR" w:eastAsia="en-US"/>
        </w:rPr>
        <w:t xml:space="preserve">          d. Alcanzar un índice de satisfacción corporativo estandarizado.</w:t>
      </w:r>
    </w:p>
    <w:p w14:paraId="5C474584" w14:textId="77777777" w:rsidR="008D551B" w:rsidRPr="008D551B" w:rsidRDefault="008D551B" w:rsidP="008D551B">
      <w:pPr>
        <w:ind w:left="-567" w:right="-25"/>
      </w:pPr>
    </w:p>
    <w:p w14:paraId="3542CFB7" w14:textId="77777777" w:rsidR="008D551B" w:rsidRPr="00D74F7D" w:rsidRDefault="008D551B" w:rsidP="00A65F5F">
      <w:pPr>
        <w:ind w:left="-567" w:right="-25"/>
        <w:rPr>
          <w:rFonts w:eastAsiaTheme="minorHAnsi"/>
          <w:szCs w:val="20"/>
          <w:lang w:val="es-CR" w:eastAsia="en-US"/>
        </w:rPr>
      </w:pPr>
      <w:r w:rsidRPr="00D74F7D">
        <w:rPr>
          <w:rFonts w:eastAsiaTheme="minorHAnsi"/>
          <w:szCs w:val="20"/>
          <w:lang w:val="es-CR" w:eastAsia="en-US"/>
        </w:rPr>
        <w:t>Eficiencia operativa, modernización y transformación digital:</w:t>
      </w:r>
    </w:p>
    <w:p w14:paraId="5F27757F" w14:textId="77777777" w:rsidR="008D551B" w:rsidRPr="00D74F7D" w:rsidRDefault="008D551B" w:rsidP="00A65F5F">
      <w:pPr>
        <w:ind w:left="-567" w:right="-25"/>
        <w:rPr>
          <w:rFonts w:eastAsiaTheme="minorHAnsi"/>
          <w:szCs w:val="20"/>
          <w:lang w:val="es-CR" w:eastAsia="en-US"/>
        </w:rPr>
      </w:pPr>
    </w:p>
    <w:p w14:paraId="07D3770F"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a. Optimizar los procesos del Grupo ICE, mejorando los instrumentos de medición de</w:t>
      </w:r>
    </w:p>
    <w:p w14:paraId="568B3FD5"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resultados, tiempos, costos y eficacia.</w:t>
      </w:r>
    </w:p>
    <w:p w14:paraId="371CAFDD"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b. Cumplir con el 100% de las buenas prácticas de Gobierno Corporativo y de política</w:t>
      </w:r>
    </w:p>
    <w:p w14:paraId="629370D3" w14:textId="77777777" w:rsidR="008D551B" w:rsidRPr="00D74F7D" w:rsidRDefault="008D551B" w:rsidP="008D551B">
      <w:pPr>
        <w:ind w:left="-567" w:right="-25" w:firstLine="567"/>
        <w:rPr>
          <w:rFonts w:eastAsiaTheme="minorHAnsi"/>
          <w:szCs w:val="20"/>
          <w:lang w:val="es-CR" w:eastAsia="en-US"/>
        </w:rPr>
      </w:pPr>
      <w:r w:rsidRPr="00D74F7D">
        <w:rPr>
          <w:rFonts w:eastAsiaTheme="minorHAnsi"/>
          <w:szCs w:val="20"/>
          <w:lang w:val="es-CR" w:eastAsia="en-US"/>
        </w:rPr>
        <w:t>pública.</w:t>
      </w:r>
    </w:p>
    <w:p w14:paraId="4D5C29B1" w14:textId="77777777" w:rsidR="008D551B" w:rsidRPr="00D74F7D" w:rsidRDefault="008D551B" w:rsidP="00A65F5F">
      <w:pPr>
        <w:ind w:left="-567" w:right="-25"/>
        <w:rPr>
          <w:rFonts w:eastAsiaTheme="minorHAnsi"/>
          <w:szCs w:val="20"/>
          <w:lang w:val="es-CR" w:eastAsia="en-US"/>
        </w:rPr>
      </w:pPr>
    </w:p>
    <w:p w14:paraId="63B83960" w14:textId="77777777" w:rsidR="008D551B" w:rsidRPr="00D74F7D" w:rsidRDefault="008D551B" w:rsidP="00A65F5F">
      <w:pPr>
        <w:ind w:left="-567" w:right="-25"/>
        <w:rPr>
          <w:rFonts w:eastAsiaTheme="minorHAnsi"/>
          <w:szCs w:val="20"/>
          <w:lang w:val="es-CR" w:eastAsia="en-US"/>
        </w:rPr>
      </w:pPr>
      <w:r w:rsidRPr="00D74F7D">
        <w:rPr>
          <w:rFonts w:eastAsiaTheme="minorHAnsi"/>
          <w:szCs w:val="20"/>
          <w:lang w:val="es-CR" w:eastAsia="en-US"/>
        </w:rPr>
        <w:t>Efectividad del talento humano:</w:t>
      </w:r>
    </w:p>
    <w:p w14:paraId="2D7DFC0E" w14:textId="77777777" w:rsidR="008D551B" w:rsidRPr="00D74F7D" w:rsidRDefault="008D551B" w:rsidP="00A65F5F">
      <w:pPr>
        <w:ind w:left="-567" w:right="-25"/>
        <w:rPr>
          <w:rFonts w:eastAsiaTheme="minorHAnsi"/>
          <w:szCs w:val="20"/>
          <w:lang w:val="es-CR" w:eastAsia="en-US"/>
        </w:rPr>
      </w:pPr>
    </w:p>
    <w:p w14:paraId="553B794E"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a. Mejorar el bienestar y desempeño de los colaboradores implementando un modelo</w:t>
      </w:r>
    </w:p>
    <w:p w14:paraId="65A98578"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integral del talento humano.</w:t>
      </w:r>
    </w:p>
    <w:p w14:paraId="33722828" w14:textId="77777777" w:rsidR="008D551B" w:rsidRPr="00D74F7D" w:rsidRDefault="008D551B" w:rsidP="008D551B">
      <w:pPr>
        <w:ind w:left="-567" w:right="-25"/>
        <w:rPr>
          <w:rFonts w:eastAsiaTheme="minorHAnsi"/>
          <w:szCs w:val="20"/>
          <w:lang w:val="es-CR" w:eastAsia="en-US"/>
        </w:rPr>
      </w:pPr>
      <w:r w:rsidRPr="00D74F7D">
        <w:rPr>
          <w:rFonts w:eastAsiaTheme="minorHAnsi"/>
          <w:szCs w:val="20"/>
          <w:lang w:val="es-CR" w:eastAsia="en-US"/>
        </w:rPr>
        <w:t xml:space="preserve">           b. Desarrollar las competencias estratégicas y de liderazgo en el recurso humano.</w:t>
      </w:r>
    </w:p>
    <w:p w14:paraId="3D7B5F06" w14:textId="77777777" w:rsidR="008D551B" w:rsidRPr="00D74F7D" w:rsidRDefault="008D551B" w:rsidP="008D551B">
      <w:pPr>
        <w:ind w:left="-567" w:right="-25"/>
        <w:rPr>
          <w:rFonts w:eastAsiaTheme="minorHAnsi"/>
          <w:szCs w:val="20"/>
          <w:lang w:val="es-CR" w:eastAsia="en-US"/>
        </w:rPr>
      </w:pPr>
    </w:p>
    <w:p w14:paraId="40F93083" w14:textId="77777777" w:rsidR="008D551B" w:rsidRPr="00D74F7D" w:rsidRDefault="008D551B" w:rsidP="008D551B">
      <w:pPr>
        <w:ind w:left="-567" w:right="-25"/>
        <w:rPr>
          <w:rFonts w:eastAsiaTheme="minorHAnsi"/>
          <w:szCs w:val="20"/>
          <w:lang w:val="es-CR" w:eastAsia="en-US"/>
        </w:rPr>
      </w:pPr>
      <w:r w:rsidRPr="00D74F7D">
        <w:rPr>
          <w:rFonts w:eastAsiaTheme="minorHAnsi"/>
          <w:szCs w:val="20"/>
          <w:lang w:val="es-CR" w:eastAsia="en-US"/>
        </w:rPr>
        <w:t>Equidad y sostenibilidad:</w:t>
      </w:r>
    </w:p>
    <w:p w14:paraId="32C6E86F" w14:textId="77777777" w:rsidR="008D551B" w:rsidRPr="00D74F7D" w:rsidRDefault="008D551B" w:rsidP="008D551B">
      <w:pPr>
        <w:autoSpaceDE w:val="0"/>
        <w:autoSpaceDN w:val="0"/>
        <w:adjustRightInd w:val="0"/>
        <w:ind w:right="0"/>
        <w:jc w:val="left"/>
        <w:rPr>
          <w:rFonts w:eastAsiaTheme="minorHAnsi"/>
          <w:szCs w:val="20"/>
          <w:lang w:val="es-CR" w:eastAsia="en-US"/>
        </w:rPr>
      </w:pPr>
      <w:r w:rsidRPr="00D74F7D">
        <w:rPr>
          <w:rFonts w:eastAsiaTheme="minorHAnsi"/>
          <w:szCs w:val="20"/>
          <w:lang w:val="es-CR" w:eastAsia="en-US"/>
        </w:rPr>
        <w:t>a. Creación de valor implementando un Modelo Integral de Sostenibilidad, basado en</w:t>
      </w:r>
    </w:p>
    <w:p w14:paraId="13CFB1CF" w14:textId="77777777" w:rsidR="008D551B" w:rsidRPr="00D74F7D" w:rsidRDefault="008D551B" w:rsidP="008D551B">
      <w:pPr>
        <w:pStyle w:val="Prrafodelista"/>
        <w:ind w:left="-207" w:right="-25" w:firstLine="207"/>
        <w:rPr>
          <w:rFonts w:eastAsiaTheme="minorHAnsi"/>
          <w:szCs w:val="20"/>
          <w:lang w:val="es-CR" w:eastAsia="en-US"/>
        </w:rPr>
      </w:pPr>
      <w:r w:rsidRPr="00D74F7D">
        <w:rPr>
          <w:rFonts w:eastAsiaTheme="minorHAnsi"/>
          <w:szCs w:val="20"/>
          <w:lang w:val="es-CR" w:eastAsia="en-US"/>
        </w:rPr>
        <w:t>los objetivos de desarrollo sostenible.</w:t>
      </w:r>
    </w:p>
    <w:p w14:paraId="21E5109E" w14:textId="77777777" w:rsidR="008D551B" w:rsidRPr="00D74F7D" w:rsidRDefault="008D551B" w:rsidP="008D551B">
      <w:pPr>
        <w:pStyle w:val="Prrafodelista"/>
        <w:ind w:left="-207" w:right="-25" w:firstLine="207"/>
        <w:rPr>
          <w:rFonts w:ascii="Avenir-Black" w:eastAsiaTheme="minorHAnsi" w:hAnsi="Avenir-Black" w:cs="Avenir-Black"/>
          <w:sz w:val="20"/>
          <w:szCs w:val="20"/>
          <w:lang w:val="es-CR" w:eastAsia="en-US"/>
        </w:rPr>
      </w:pPr>
    </w:p>
    <w:p w14:paraId="6BBB3CA3" w14:textId="77777777" w:rsidR="00A65F5F" w:rsidRPr="00D74F7D" w:rsidRDefault="00A65F5F" w:rsidP="00A65F5F">
      <w:pPr>
        <w:ind w:left="-567"/>
        <w:rPr>
          <w:u w:val="single"/>
          <w:lang w:eastAsia="es-ES"/>
        </w:rPr>
      </w:pPr>
      <w:r w:rsidRPr="00D74F7D">
        <w:rPr>
          <w:u w:val="single"/>
          <w:lang w:eastAsia="es-ES"/>
        </w:rPr>
        <w:t>Desempeño comercial y operativo</w:t>
      </w:r>
    </w:p>
    <w:p w14:paraId="09121EBF" w14:textId="77777777" w:rsidR="00A65F5F" w:rsidRDefault="00A65F5F" w:rsidP="00A65F5F">
      <w:pPr>
        <w:ind w:left="-567"/>
        <w:rPr>
          <w:noProof/>
        </w:rPr>
      </w:pPr>
    </w:p>
    <w:p w14:paraId="17323DA9" w14:textId="77777777" w:rsidR="00A65F5F" w:rsidRDefault="00A65F5F" w:rsidP="00A65F5F">
      <w:pPr>
        <w:ind w:left="-567"/>
        <w:rPr>
          <w:noProof/>
        </w:rPr>
      </w:pPr>
      <w:r w:rsidRPr="00651A64">
        <w:rPr>
          <w:noProof/>
        </w:rPr>
        <w:t>El Instituto ha venido incursionando intensamente en proyectos de inversión y planes estratégicos, necesarios para atender la demanda de sus negocios y la expansión de la oferta de sus servicios, así como la optimización de recursos y la reducción de costos y gastos, que le permitan obtener beneficios en su operación, procurando la sostenibilidad financiera de la actividad económica de la entidad.</w:t>
      </w:r>
    </w:p>
    <w:p w14:paraId="7D743FAD" w14:textId="77777777" w:rsidR="00A65F5F" w:rsidRPr="00651A64" w:rsidRDefault="00A65F5F" w:rsidP="00A65F5F">
      <w:pPr>
        <w:ind w:left="-567"/>
        <w:rPr>
          <w:noProof/>
        </w:rPr>
      </w:pPr>
    </w:p>
    <w:p w14:paraId="6FBBD465" w14:textId="77777777" w:rsidR="00A65F5F" w:rsidRDefault="00A65F5F" w:rsidP="00EF0D70">
      <w:pPr>
        <w:pStyle w:val="Ttulo2"/>
        <w:numPr>
          <w:ilvl w:val="1"/>
          <w:numId w:val="54"/>
        </w:numPr>
      </w:pPr>
      <w:bookmarkStart w:id="2527" w:name="_Toc304737236"/>
      <w:bookmarkStart w:id="2528" w:name="_Toc343676073"/>
      <w:bookmarkStart w:id="2529" w:name="_Toc358619436"/>
      <w:bookmarkStart w:id="2530" w:name="_Toc358620701"/>
      <w:bookmarkStart w:id="2531" w:name="_Toc358621908"/>
      <w:bookmarkStart w:id="2532" w:name="_Toc358622885"/>
      <w:bookmarkStart w:id="2533" w:name="_Toc26357172"/>
      <w:bookmarkStart w:id="2534" w:name="_Toc138664960"/>
      <w:r w:rsidRPr="00AC56C7">
        <w:t>Cumplimiento de metas</w:t>
      </w:r>
      <w:bookmarkEnd w:id="2527"/>
      <w:bookmarkEnd w:id="2528"/>
      <w:bookmarkEnd w:id="2529"/>
      <w:bookmarkEnd w:id="2530"/>
      <w:bookmarkEnd w:id="2531"/>
      <w:bookmarkEnd w:id="2532"/>
      <w:bookmarkEnd w:id="2533"/>
      <w:bookmarkEnd w:id="2534"/>
    </w:p>
    <w:p w14:paraId="724379C4" w14:textId="0276AA4F" w:rsidR="00D563AE" w:rsidRPr="00D563AE" w:rsidRDefault="00182484" w:rsidP="00D563AE">
      <w:pPr>
        <w:rPr>
          <w:lang w:val="es-ES"/>
        </w:rPr>
      </w:pPr>
      <w:r w:rsidRPr="00182484">
        <w:rPr>
          <w:noProof/>
        </w:rPr>
        <w:drawing>
          <wp:inline distT="0" distB="0" distL="0" distR="0" wp14:anchorId="1F28241C" wp14:editId="2DF644F9">
            <wp:extent cx="5784850" cy="697992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358" cy="6987772"/>
                    </a:xfrm>
                    <a:prstGeom prst="rect">
                      <a:avLst/>
                    </a:prstGeom>
                    <a:noFill/>
                    <a:ln>
                      <a:noFill/>
                    </a:ln>
                  </pic:spPr>
                </pic:pic>
              </a:graphicData>
            </a:graphic>
          </wp:inline>
        </w:drawing>
      </w:r>
    </w:p>
    <w:p w14:paraId="5A147212" w14:textId="77777777" w:rsidR="00A65F5F" w:rsidRDefault="00A65F5F" w:rsidP="00A65F5F">
      <w:pPr>
        <w:rPr>
          <w:u w:val="single"/>
        </w:rPr>
      </w:pPr>
      <w:r w:rsidRPr="0054753B">
        <w:rPr>
          <w:u w:val="single"/>
        </w:rPr>
        <w:t>Sector Telecomunicaciones</w:t>
      </w:r>
    </w:p>
    <w:p w14:paraId="5D6911F3" w14:textId="77777777" w:rsidR="00A65F5F" w:rsidRDefault="00A65F5F" w:rsidP="00A65F5F">
      <w:pPr>
        <w:rPr>
          <w:u w:val="single"/>
        </w:rPr>
      </w:pPr>
    </w:p>
    <w:p w14:paraId="22E28952" w14:textId="77777777" w:rsidR="00A65F5F" w:rsidRPr="00F54F05" w:rsidRDefault="00A65F5F" w:rsidP="00A65F5F">
      <w:pPr>
        <w:ind w:left="-567"/>
      </w:pPr>
      <w:r>
        <w:t>E</w:t>
      </w:r>
      <w:r w:rsidRPr="00F54F05">
        <w:t xml:space="preserve">l desafío fundamental que ha vivido la Institución, como impacto suscitado a raíz de la apertura del mercado de las telecomunicaciones en Costa Rica, es el ser una empresa de naturaleza pública, pero con retos asociados a criterios de eficiencia y rentabilidad, propios de la empresa privada. </w:t>
      </w:r>
    </w:p>
    <w:p w14:paraId="67BAD3CC" w14:textId="77777777" w:rsidR="00A65F5F" w:rsidRPr="00F54F05" w:rsidRDefault="00A65F5F" w:rsidP="00A65F5F">
      <w:pPr>
        <w:ind w:left="-567"/>
      </w:pPr>
    </w:p>
    <w:p w14:paraId="055C1E1E" w14:textId="77777777" w:rsidR="00A65F5F" w:rsidRPr="00F54F05" w:rsidRDefault="00A65F5F" w:rsidP="00A65F5F">
      <w:pPr>
        <w:ind w:left="-567"/>
      </w:pPr>
      <w:r>
        <w:t>E</w:t>
      </w:r>
      <w:r w:rsidRPr="00F54F05">
        <w:t>l ambiente competitivo en el mercado ha agudizado en la población los niveles de exigencia en cuanto a oportunidad, calidad y valor agregado de los servicios y productos que espera recibir.</w:t>
      </w:r>
    </w:p>
    <w:p w14:paraId="39FC12AE" w14:textId="77777777" w:rsidR="00A65F5F" w:rsidRDefault="00A65F5F" w:rsidP="00A47191"/>
    <w:p w14:paraId="16657661" w14:textId="77777777" w:rsidR="00A65F5F" w:rsidRDefault="00A47191" w:rsidP="00A65F5F">
      <w:pPr>
        <w:ind w:left="-567"/>
      </w:pPr>
      <w:r>
        <w:t>No se vislumbra ninguna tendencia o evento que pudiera provocar una disminución o aumento importante en la liquidez, ya que la mayoría de las acciones que impactan la liquidez de la empresa han sido consideradas en las estimaciones.</w:t>
      </w:r>
    </w:p>
    <w:p w14:paraId="208928FE" w14:textId="77777777" w:rsidR="00A65F5F" w:rsidRPr="005F028C" w:rsidRDefault="00A65F5F" w:rsidP="00EF0D70">
      <w:pPr>
        <w:pStyle w:val="Ttulo2"/>
        <w:numPr>
          <w:ilvl w:val="1"/>
          <w:numId w:val="54"/>
        </w:numPr>
      </w:pPr>
      <w:bookmarkStart w:id="2535" w:name="_Toc304737237"/>
      <w:bookmarkStart w:id="2536" w:name="_Toc343676074"/>
      <w:bookmarkStart w:id="2537" w:name="_Toc358619437"/>
      <w:bookmarkStart w:id="2538" w:name="_Toc358620702"/>
      <w:bookmarkStart w:id="2539" w:name="_Toc358621909"/>
      <w:bookmarkStart w:id="2540" w:name="_Toc358622886"/>
      <w:bookmarkStart w:id="2541" w:name="_Toc26357173"/>
      <w:bookmarkStart w:id="2542" w:name="_Toc138664961"/>
      <w:r>
        <w:t>Políticas de Investigación y Desarrollo</w:t>
      </w:r>
      <w:bookmarkEnd w:id="2535"/>
      <w:bookmarkEnd w:id="2536"/>
      <w:bookmarkEnd w:id="2537"/>
      <w:bookmarkEnd w:id="2538"/>
      <w:bookmarkEnd w:id="2539"/>
      <w:bookmarkEnd w:id="2540"/>
      <w:bookmarkEnd w:id="2541"/>
      <w:bookmarkEnd w:id="2542"/>
    </w:p>
    <w:p w14:paraId="48F65DE2" w14:textId="77777777" w:rsidR="00A65F5F" w:rsidRDefault="00A65F5F" w:rsidP="00A65F5F">
      <w:pPr>
        <w:ind w:left="-567" w:right="-25"/>
      </w:pPr>
    </w:p>
    <w:p w14:paraId="2E7C7720" w14:textId="77777777" w:rsidR="00A65F5F" w:rsidRDefault="00A65F5F" w:rsidP="00A65F5F">
      <w:pPr>
        <w:ind w:left="-567" w:right="-25"/>
      </w:pPr>
      <w:r>
        <w:t>E</w:t>
      </w:r>
      <w:r w:rsidRPr="002D5BD2">
        <w:t>l I</w:t>
      </w:r>
      <w:r>
        <w:t>nstituto Costarricense de Electricidad cuenta con un Centro de Servicio Investigación y Desarrollo encargado de planificar, diseñar, desarrollar, aplicar y promocionar procesos de innovación tecnológica. El centro promueve y realiza proyectos de alto nivel tecnológico e impulsa el establecimiento de convenios con empresas, universidades y centros de investigación que permiten la asimilación y transferencia de tecnología y la consecución de recursos económicos y humanos.  El centro brinda servicios de laboratorio especializados que contribuyen a optimizar y mejorar la calidad de los servicios prestados por el ICE. La prestación de servicios especializados de laboratorio se realiza procurando total neutralidad e independencia de criterio técnico.</w:t>
      </w:r>
    </w:p>
    <w:p w14:paraId="77F2E029" w14:textId="77777777" w:rsidR="00A65F5F" w:rsidRDefault="00A65F5F" w:rsidP="00A65F5F">
      <w:pPr>
        <w:ind w:left="-567" w:right="-25"/>
      </w:pPr>
    </w:p>
    <w:p w14:paraId="3B8E876C" w14:textId="77777777" w:rsidR="00A65F5F" w:rsidRPr="00277F39" w:rsidRDefault="00A65F5F" w:rsidP="00A65F5F">
      <w:pPr>
        <w:ind w:left="-567" w:right="-25"/>
        <w:rPr>
          <w:i/>
          <w:u w:val="single"/>
          <w:lang w:val="es-CR"/>
        </w:rPr>
      </w:pPr>
      <w:r w:rsidRPr="00277F39">
        <w:rPr>
          <w:i/>
          <w:u w:val="single"/>
          <w:lang w:val="es-CR"/>
        </w:rPr>
        <w:t>O</w:t>
      </w:r>
      <w:r>
        <w:rPr>
          <w:i/>
          <w:u w:val="single"/>
          <w:lang w:val="es-CR"/>
        </w:rPr>
        <w:t xml:space="preserve">bjetivo </w:t>
      </w:r>
      <w:r w:rsidRPr="00277F39">
        <w:rPr>
          <w:i/>
          <w:u w:val="single"/>
          <w:lang w:val="es-CR"/>
        </w:rPr>
        <w:t>G</w:t>
      </w:r>
      <w:r>
        <w:rPr>
          <w:i/>
          <w:u w:val="single"/>
          <w:lang w:val="es-CR"/>
        </w:rPr>
        <w:t>eneral de Investigación y Desarrollo</w:t>
      </w:r>
      <w:r w:rsidRPr="00277F39">
        <w:rPr>
          <w:i/>
          <w:u w:val="single"/>
          <w:lang w:val="es-CR"/>
        </w:rPr>
        <w:t>:</w:t>
      </w:r>
    </w:p>
    <w:p w14:paraId="65EDFDE5" w14:textId="77777777" w:rsidR="00A65F5F" w:rsidRDefault="00A65F5F" w:rsidP="00A65F5F">
      <w:pPr>
        <w:ind w:left="-567" w:right="-25"/>
      </w:pPr>
      <w:r>
        <w:t xml:space="preserve">Promover e implantar proyectos de innovación, investigación y desarrollo, de alto nivel tecnológico, y brindar servicios especializados de laboratorio como medios para mejorar continuamente la confiabilidad, calidad y costo de los servicios prestados por el ICE, mediante un recurso humano motivado e innovador, orientado a satisfacer las necesidades del cliente </w:t>
      </w:r>
    </w:p>
    <w:p w14:paraId="763214DA" w14:textId="77777777" w:rsidR="00A65F5F" w:rsidRDefault="00A65F5F" w:rsidP="00A65F5F">
      <w:pPr>
        <w:ind w:left="-567" w:right="-25"/>
      </w:pPr>
    </w:p>
    <w:p w14:paraId="7A56E727" w14:textId="77777777" w:rsidR="00A65F5F" w:rsidRDefault="00A65F5F" w:rsidP="00A65F5F">
      <w:pPr>
        <w:ind w:left="-567" w:right="-25"/>
        <w:rPr>
          <w:i/>
          <w:u w:val="single"/>
          <w:lang w:val="es-CR"/>
        </w:rPr>
      </w:pPr>
      <w:r w:rsidRPr="00277F39">
        <w:rPr>
          <w:i/>
          <w:u w:val="single"/>
          <w:lang w:val="es-CR"/>
        </w:rPr>
        <w:t>Políticas del Centro de Servicio</w:t>
      </w:r>
    </w:p>
    <w:p w14:paraId="72EEBC06" w14:textId="77777777" w:rsidR="00A65F5F" w:rsidRDefault="00A65F5F" w:rsidP="00A65F5F">
      <w:pPr>
        <w:ind w:left="-284" w:right="-25" w:hanging="283"/>
      </w:pPr>
      <w:r>
        <w:t>a.</w:t>
      </w:r>
      <w:r>
        <w:tab/>
      </w:r>
      <w:r w:rsidRPr="00277F39">
        <w:rPr>
          <w:b/>
        </w:rPr>
        <w:t>Política de Innovación:</w:t>
      </w:r>
      <w:r>
        <w:t xml:space="preserve"> El personal y la organización del Centro de Servicio responden al desarrollo de proyectos y prestación de servicios de carácter innovador, con trazabilidad a la mejora en la calidad y costo de los servicios prestados por el ICE. </w:t>
      </w:r>
    </w:p>
    <w:p w14:paraId="4BB031EF" w14:textId="77777777" w:rsidR="00A65F5F" w:rsidRDefault="00A65F5F" w:rsidP="00A65F5F">
      <w:pPr>
        <w:ind w:left="-284" w:right="-25" w:hanging="283"/>
      </w:pPr>
      <w:r>
        <w:t>b.</w:t>
      </w:r>
      <w:r>
        <w:tab/>
      </w:r>
      <w:r w:rsidRPr="00277F39">
        <w:rPr>
          <w:b/>
        </w:rPr>
        <w:t>Política de Calidad:</w:t>
      </w:r>
      <w:r>
        <w:t xml:space="preserve"> El Centro de Servicio Investigación y Desarrollo está comprometido con la satisfacción de los clientes mediante ideas y soluciones innovadoras. Esto se logra por medio de la mejora continua de nuestros servicios, aplicando las mejores prácticas en administración de proyectos, metrología con trazabilidad internacional, así como herramientas de gestión del conocimiento.</w:t>
      </w:r>
    </w:p>
    <w:p w14:paraId="41786C20" w14:textId="77777777" w:rsidR="00A65F5F" w:rsidRDefault="00A65F5F" w:rsidP="00A65F5F">
      <w:pPr>
        <w:ind w:left="-284" w:right="-25" w:hanging="283"/>
      </w:pPr>
      <w:r>
        <w:t>c.</w:t>
      </w:r>
      <w:r>
        <w:tab/>
      </w:r>
      <w:r w:rsidRPr="00277F39">
        <w:rPr>
          <w:b/>
        </w:rPr>
        <w:t>Política de Ambiente Laboral:</w:t>
      </w:r>
      <w:r>
        <w:t xml:space="preserve"> El Centro de Servicio proporciona un ambiente laboral sano y seguro, aplicando las medidas preventivas necesarias en todas las actividades que se realicen.</w:t>
      </w:r>
    </w:p>
    <w:p w14:paraId="43D8DA59" w14:textId="77777777" w:rsidR="00A65F5F" w:rsidRDefault="00A65F5F" w:rsidP="00A65F5F">
      <w:pPr>
        <w:ind w:left="-284" w:right="-25" w:hanging="283"/>
      </w:pPr>
      <w:r>
        <w:t>d.</w:t>
      </w:r>
      <w:r>
        <w:tab/>
      </w:r>
      <w:r w:rsidRPr="00277F39">
        <w:rPr>
          <w:b/>
        </w:rPr>
        <w:t>Política Ambiental:</w:t>
      </w:r>
      <w:r>
        <w:t xml:space="preserve"> Ejecutar todas las actividades con un compromiso de protección al ambiente, previniendo su contaminación y manteniendo en todo momento un manejo responsable de los recursos naturales y la armonía con el entorno social, dentro de un marco de calidad, de mejoramiento continuo de la gestión y de cumplimiento de la legislación y reglamentación ambiental vigente.</w:t>
      </w:r>
    </w:p>
    <w:p w14:paraId="713D5030" w14:textId="77777777" w:rsidR="00A65F5F" w:rsidRDefault="00A65F5F" w:rsidP="00A65F5F">
      <w:pPr>
        <w:ind w:left="-284" w:right="-25" w:hanging="283"/>
      </w:pPr>
    </w:p>
    <w:p w14:paraId="583A22B1" w14:textId="77777777" w:rsidR="00A65F5F" w:rsidRDefault="00A65F5F" w:rsidP="00A65F5F">
      <w:pPr>
        <w:ind w:left="-284" w:right="-25" w:hanging="283"/>
      </w:pPr>
    </w:p>
    <w:p w14:paraId="4951D7D0" w14:textId="77777777" w:rsidR="00A65F5F" w:rsidRDefault="00A65F5F" w:rsidP="00A65F5F">
      <w:pPr>
        <w:ind w:right="-25"/>
      </w:pPr>
    </w:p>
    <w:p w14:paraId="63D11589" w14:textId="77777777" w:rsidR="00A65F5F" w:rsidRPr="006A4410" w:rsidRDefault="00A65F5F" w:rsidP="00EF0D70">
      <w:pPr>
        <w:pStyle w:val="Ttulo2"/>
        <w:numPr>
          <w:ilvl w:val="0"/>
          <w:numId w:val="54"/>
        </w:numPr>
      </w:pPr>
      <w:bookmarkStart w:id="2543" w:name="_Toc226807254"/>
      <w:bookmarkStart w:id="2544" w:name="_Toc226807368"/>
      <w:bookmarkStart w:id="2545" w:name="_Toc226807482"/>
      <w:bookmarkStart w:id="2546" w:name="_Toc226807593"/>
      <w:bookmarkStart w:id="2547" w:name="_Toc226808480"/>
      <w:bookmarkStart w:id="2548" w:name="_Toc226808591"/>
      <w:bookmarkStart w:id="2549" w:name="_Toc226809104"/>
      <w:bookmarkStart w:id="2550" w:name="_Toc226809214"/>
      <w:bookmarkStart w:id="2551" w:name="_Toc226809325"/>
      <w:bookmarkStart w:id="2552" w:name="_Toc226809435"/>
      <w:bookmarkStart w:id="2553" w:name="_Toc226809544"/>
      <w:bookmarkStart w:id="2554" w:name="_Toc226809861"/>
      <w:bookmarkStart w:id="2555" w:name="_Toc226810108"/>
      <w:bookmarkStart w:id="2556" w:name="_Toc226807255"/>
      <w:bookmarkStart w:id="2557" w:name="_Toc226807369"/>
      <w:bookmarkStart w:id="2558" w:name="_Toc226807483"/>
      <w:bookmarkStart w:id="2559" w:name="_Toc226807594"/>
      <w:bookmarkStart w:id="2560" w:name="_Toc226808481"/>
      <w:bookmarkStart w:id="2561" w:name="_Toc226808592"/>
      <w:bookmarkStart w:id="2562" w:name="_Toc226809105"/>
      <w:bookmarkStart w:id="2563" w:name="_Toc226809215"/>
      <w:bookmarkStart w:id="2564" w:name="_Toc226809326"/>
      <w:bookmarkStart w:id="2565" w:name="_Toc226809436"/>
      <w:bookmarkStart w:id="2566" w:name="_Toc226809545"/>
      <w:bookmarkStart w:id="2567" w:name="_Toc226809862"/>
      <w:bookmarkStart w:id="2568" w:name="_Toc226810109"/>
      <w:bookmarkStart w:id="2569" w:name="_Toc226807257"/>
      <w:bookmarkStart w:id="2570" w:name="_Toc226807371"/>
      <w:bookmarkStart w:id="2571" w:name="_Toc226807485"/>
      <w:bookmarkStart w:id="2572" w:name="_Toc226807596"/>
      <w:bookmarkStart w:id="2573" w:name="_Toc226808483"/>
      <w:bookmarkStart w:id="2574" w:name="_Toc226808594"/>
      <w:bookmarkStart w:id="2575" w:name="_Toc226809107"/>
      <w:bookmarkStart w:id="2576" w:name="_Toc226809217"/>
      <w:bookmarkStart w:id="2577" w:name="_Toc226809328"/>
      <w:bookmarkStart w:id="2578" w:name="_Toc226809438"/>
      <w:bookmarkStart w:id="2579" w:name="_Toc226809547"/>
      <w:bookmarkStart w:id="2580" w:name="_Toc226809864"/>
      <w:bookmarkStart w:id="2581" w:name="_Toc226810111"/>
      <w:bookmarkStart w:id="2582" w:name="_Toc226807258"/>
      <w:bookmarkStart w:id="2583" w:name="_Toc226807372"/>
      <w:bookmarkStart w:id="2584" w:name="_Toc226807486"/>
      <w:bookmarkStart w:id="2585" w:name="_Toc226807597"/>
      <w:bookmarkStart w:id="2586" w:name="_Toc226808484"/>
      <w:bookmarkStart w:id="2587" w:name="_Toc226808595"/>
      <w:bookmarkStart w:id="2588" w:name="_Toc226809108"/>
      <w:bookmarkStart w:id="2589" w:name="_Toc226809218"/>
      <w:bookmarkStart w:id="2590" w:name="_Toc226809329"/>
      <w:bookmarkStart w:id="2591" w:name="_Toc226809439"/>
      <w:bookmarkStart w:id="2592" w:name="_Toc226809548"/>
      <w:bookmarkStart w:id="2593" w:name="_Toc226809865"/>
      <w:bookmarkStart w:id="2594" w:name="_Toc226810112"/>
      <w:bookmarkStart w:id="2595" w:name="_Toc226807259"/>
      <w:bookmarkStart w:id="2596" w:name="_Toc226807373"/>
      <w:bookmarkStart w:id="2597" w:name="_Toc226807487"/>
      <w:bookmarkStart w:id="2598" w:name="_Toc226807598"/>
      <w:bookmarkStart w:id="2599" w:name="_Toc226808485"/>
      <w:bookmarkStart w:id="2600" w:name="_Toc226808596"/>
      <w:bookmarkStart w:id="2601" w:name="_Toc226809109"/>
      <w:bookmarkStart w:id="2602" w:name="_Toc226809219"/>
      <w:bookmarkStart w:id="2603" w:name="_Toc226809330"/>
      <w:bookmarkStart w:id="2604" w:name="_Toc226809440"/>
      <w:bookmarkStart w:id="2605" w:name="_Toc226809549"/>
      <w:bookmarkStart w:id="2606" w:name="_Toc226809866"/>
      <w:bookmarkStart w:id="2607" w:name="_Toc226810113"/>
      <w:bookmarkStart w:id="2608" w:name="_Toc210619404"/>
      <w:bookmarkStart w:id="2609" w:name="_Toc210619912"/>
      <w:bookmarkStart w:id="2610" w:name="_Toc210619405"/>
      <w:bookmarkStart w:id="2611" w:name="_Toc210619913"/>
      <w:bookmarkStart w:id="2612" w:name="_Toc226807261"/>
      <w:bookmarkStart w:id="2613" w:name="_Toc226807375"/>
      <w:bookmarkStart w:id="2614" w:name="_Toc226807489"/>
      <w:bookmarkStart w:id="2615" w:name="_Toc226807600"/>
      <w:bookmarkStart w:id="2616" w:name="_Toc226808487"/>
      <w:bookmarkStart w:id="2617" w:name="_Toc226808598"/>
      <w:bookmarkStart w:id="2618" w:name="_Toc226809111"/>
      <w:bookmarkStart w:id="2619" w:name="_Toc226809221"/>
      <w:bookmarkStart w:id="2620" w:name="_Toc226809332"/>
      <w:bookmarkStart w:id="2621" w:name="_Toc226809442"/>
      <w:bookmarkStart w:id="2622" w:name="_Toc226809551"/>
      <w:bookmarkStart w:id="2623" w:name="_Toc226809868"/>
      <w:bookmarkStart w:id="2624" w:name="_Toc226810115"/>
      <w:bookmarkStart w:id="2625" w:name="_Toc226807263"/>
      <w:bookmarkStart w:id="2626" w:name="_Toc226807377"/>
      <w:bookmarkStart w:id="2627" w:name="_Toc226807491"/>
      <w:bookmarkStart w:id="2628" w:name="_Toc226807602"/>
      <w:bookmarkStart w:id="2629" w:name="_Toc226808489"/>
      <w:bookmarkStart w:id="2630" w:name="_Toc226808600"/>
      <w:bookmarkStart w:id="2631" w:name="_Toc226809113"/>
      <w:bookmarkStart w:id="2632" w:name="_Toc226809223"/>
      <w:bookmarkStart w:id="2633" w:name="_Toc226809334"/>
      <w:bookmarkStart w:id="2634" w:name="_Toc226809444"/>
      <w:bookmarkStart w:id="2635" w:name="_Toc226809553"/>
      <w:bookmarkStart w:id="2636" w:name="_Toc226809870"/>
      <w:bookmarkStart w:id="2637" w:name="_Toc226810117"/>
      <w:bookmarkStart w:id="2638" w:name="_Toc226807265"/>
      <w:bookmarkStart w:id="2639" w:name="_Toc226807379"/>
      <w:bookmarkStart w:id="2640" w:name="_Toc226807493"/>
      <w:bookmarkStart w:id="2641" w:name="_Toc226807604"/>
      <w:bookmarkStart w:id="2642" w:name="_Toc226808491"/>
      <w:bookmarkStart w:id="2643" w:name="_Toc226808602"/>
      <w:bookmarkStart w:id="2644" w:name="_Toc226809115"/>
      <w:bookmarkStart w:id="2645" w:name="_Toc226809225"/>
      <w:bookmarkStart w:id="2646" w:name="_Toc226809336"/>
      <w:bookmarkStart w:id="2647" w:name="_Toc226809446"/>
      <w:bookmarkStart w:id="2648" w:name="_Toc226809555"/>
      <w:bookmarkStart w:id="2649" w:name="_Toc226809872"/>
      <w:bookmarkStart w:id="2650" w:name="_Toc226810119"/>
      <w:bookmarkStart w:id="2651" w:name="_Toc226807267"/>
      <w:bookmarkStart w:id="2652" w:name="_Toc226807381"/>
      <w:bookmarkStart w:id="2653" w:name="_Toc226807495"/>
      <w:bookmarkStart w:id="2654" w:name="_Toc226807606"/>
      <w:bookmarkStart w:id="2655" w:name="_Toc226808493"/>
      <w:bookmarkStart w:id="2656" w:name="_Toc226808604"/>
      <w:bookmarkStart w:id="2657" w:name="_Toc226809117"/>
      <w:bookmarkStart w:id="2658" w:name="_Toc226809227"/>
      <w:bookmarkStart w:id="2659" w:name="_Toc226809338"/>
      <w:bookmarkStart w:id="2660" w:name="_Toc226809448"/>
      <w:bookmarkStart w:id="2661" w:name="_Toc226809557"/>
      <w:bookmarkStart w:id="2662" w:name="_Toc226809874"/>
      <w:bookmarkStart w:id="2663" w:name="_Toc226810121"/>
      <w:bookmarkStart w:id="2664" w:name="_Toc226807268"/>
      <w:bookmarkStart w:id="2665" w:name="_Toc226807382"/>
      <w:bookmarkStart w:id="2666" w:name="_Toc226807496"/>
      <w:bookmarkStart w:id="2667" w:name="_Toc226807607"/>
      <w:bookmarkStart w:id="2668" w:name="_Toc226808494"/>
      <w:bookmarkStart w:id="2669" w:name="_Toc226808605"/>
      <w:bookmarkStart w:id="2670" w:name="_Toc226809118"/>
      <w:bookmarkStart w:id="2671" w:name="_Toc226809228"/>
      <w:bookmarkStart w:id="2672" w:name="_Toc226809339"/>
      <w:bookmarkStart w:id="2673" w:name="_Toc226809449"/>
      <w:bookmarkStart w:id="2674" w:name="_Toc226809558"/>
      <w:bookmarkStart w:id="2675" w:name="_Toc226809875"/>
      <w:bookmarkStart w:id="2676" w:name="_Toc226810122"/>
      <w:bookmarkStart w:id="2677" w:name="_Toc304737238"/>
      <w:bookmarkStart w:id="2678" w:name="_Toc343676075"/>
      <w:bookmarkStart w:id="2679" w:name="_Toc358619438"/>
      <w:bookmarkStart w:id="2680" w:name="_Toc358620703"/>
      <w:bookmarkStart w:id="2681" w:name="_Toc358621910"/>
      <w:bookmarkStart w:id="2682" w:name="_Toc358622887"/>
      <w:bookmarkStart w:id="2683" w:name="_Toc26357174"/>
      <w:bookmarkStart w:id="2684" w:name="_Toc13866496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sidRPr="00821F41">
        <w:t>Directores, personal gerencial y empleados del Instituto Costarricense de Electricidad.</w:t>
      </w:r>
      <w:bookmarkStart w:id="2685" w:name="_Toc191377639"/>
      <w:bookmarkStart w:id="2686" w:name="_Toc192577386"/>
      <w:bookmarkStart w:id="2687" w:name="_Toc192591260"/>
      <w:bookmarkStart w:id="2688" w:name="_Toc192925768"/>
      <w:bookmarkStart w:id="2689" w:name="_Toc192925855"/>
      <w:bookmarkStart w:id="2690" w:name="_Toc192933511"/>
      <w:bookmarkStart w:id="2691" w:name="_Toc192933742"/>
      <w:bookmarkStart w:id="2692" w:name="_Toc193006324"/>
      <w:bookmarkStart w:id="2693" w:name="_Toc193006415"/>
      <w:bookmarkStart w:id="2694" w:name="_Toc193006505"/>
      <w:bookmarkStart w:id="2695" w:name="_Toc193006595"/>
      <w:bookmarkStart w:id="2696" w:name="_Toc193006685"/>
      <w:bookmarkStart w:id="2697" w:name="_Toc193006774"/>
      <w:bookmarkStart w:id="2698" w:name="_Toc193114067"/>
      <w:bookmarkStart w:id="2699" w:name="_Toc193185711"/>
      <w:bookmarkStart w:id="2700" w:name="_Toc193188598"/>
      <w:bookmarkStart w:id="2701" w:name="_Toc193200050"/>
      <w:bookmarkStart w:id="2702" w:name="_Toc197158912"/>
      <w:bookmarkStart w:id="2703" w:name="_Toc197160175"/>
      <w:bookmarkStart w:id="2704" w:name="_Toc197235640"/>
      <w:bookmarkStart w:id="2705" w:name="_Toc197235978"/>
      <w:bookmarkStart w:id="2706" w:name="_Toc199652859"/>
      <w:bookmarkStart w:id="2707" w:name="_Toc200335856"/>
      <w:bookmarkStart w:id="2708" w:name="_Toc206844814"/>
      <w:bookmarkStart w:id="2709" w:name="_Toc206905677"/>
      <w:bookmarkStart w:id="2710" w:name="_Toc207095786"/>
      <w:bookmarkStart w:id="2711" w:name="_Toc207098172"/>
      <w:bookmarkStart w:id="2712" w:name="_Toc207098365"/>
      <w:bookmarkStart w:id="2713" w:name="_Toc207098562"/>
      <w:bookmarkStart w:id="2714" w:name="_Toc207098662"/>
      <w:bookmarkStart w:id="2715" w:name="_Toc207098761"/>
      <w:bookmarkStart w:id="2716" w:name="_Toc207103422"/>
      <w:bookmarkStart w:id="2717" w:name="_Toc207178809"/>
      <w:bookmarkStart w:id="2718" w:name="_Toc208394689"/>
      <w:bookmarkStart w:id="2719" w:name="_Toc210618900"/>
      <w:bookmarkStart w:id="2720" w:name="_Toc210619182"/>
      <w:bookmarkStart w:id="2721" w:name="_Toc210619409"/>
      <w:bookmarkStart w:id="2722" w:name="_Toc210619917"/>
      <w:bookmarkStart w:id="2723" w:name="_Toc222025473"/>
      <w:bookmarkStart w:id="2724" w:name="_Toc222030409"/>
      <w:bookmarkStart w:id="2725" w:name="_Toc222135040"/>
      <w:bookmarkStart w:id="2726" w:name="_Toc222675461"/>
      <w:bookmarkStart w:id="2727" w:name="_Toc222828429"/>
      <w:bookmarkStart w:id="2728" w:name="_Toc222828526"/>
      <w:bookmarkStart w:id="2729" w:name="_Toc222887739"/>
      <w:bookmarkStart w:id="2730" w:name="_Toc222912205"/>
      <w:bookmarkStart w:id="2731" w:name="_Toc222915264"/>
      <w:bookmarkStart w:id="2732" w:name="_Toc222915358"/>
      <w:bookmarkStart w:id="2733" w:name="_Toc222919740"/>
      <w:bookmarkStart w:id="2734" w:name="_Toc222919834"/>
      <w:bookmarkStart w:id="2735" w:name="_Toc222919929"/>
      <w:bookmarkStart w:id="2736" w:name="_Toc222920232"/>
      <w:bookmarkStart w:id="2737" w:name="_Toc223164586"/>
      <w:bookmarkStart w:id="2738" w:name="_Toc223176019"/>
      <w:bookmarkStart w:id="2739" w:name="_Toc223337145"/>
      <w:bookmarkStart w:id="2740" w:name="_Toc223337238"/>
      <w:bookmarkStart w:id="2741" w:name="_Toc223342231"/>
      <w:bookmarkStart w:id="2742" w:name="_Toc223357596"/>
      <w:bookmarkStart w:id="2743" w:name="_Toc223357687"/>
      <w:bookmarkStart w:id="2744" w:name="_Toc223491461"/>
      <w:bookmarkStart w:id="2745" w:name="_Toc225051391"/>
      <w:bookmarkStart w:id="2746" w:name="_Toc225073481"/>
      <w:bookmarkStart w:id="2747" w:name="_Toc225078429"/>
      <w:bookmarkStart w:id="2748" w:name="_Toc225078520"/>
      <w:bookmarkStart w:id="2749" w:name="_Toc225079361"/>
      <w:bookmarkStart w:id="2750" w:name="_Toc225148987"/>
      <w:bookmarkStart w:id="2751" w:name="_Toc225149078"/>
      <w:bookmarkStart w:id="2752" w:name="_Toc225149169"/>
      <w:bookmarkStart w:id="2753" w:name="_Toc225154737"/>
      <w:bookmarkStart w:id="2754" w:name="_Toc225156251"/>
      <w:bookmarkStart w:id="2755" w:name="_Toc225160920"/>
      <w:bookmarkStart w:id="2756" w:name="_Toc225223160"/>
      <w:bookmarkStart w:id="2757" w:name="_Toc225241401"/>
      <w:bookmarkStart w:id="2758" w:name="_Toc225242786"/>
      <w:bookmarkStart w:id="2759" w:name="_Toc225242878"/>
      <w:bookmarkStart w:id="2760" w:name="_Toc225307384"/>
      <w:bookmarkStart w:id="2761" w:name="_Toc225307476"/>
      <w:bookmarkStart w:id="2762" w:name="_Toc225912380"/>
      <w:bookmarkStart w:id="2763" w:name="_Toc225912488"/>
      <w:bookmarkStart w:id="2764" w:name="_Toc225912580"/>
      <w:bookmarkStart w:id="2765" w:name="_Toc225912704"/>
      <w:bookmarkStart w:id="2766" w:name="_Toc225912796"/>
      <w:bookmarkStart w:id="2767" w:name="_Toc225912888"/>
      <w:bookmarkStart w:id="2768" w:name="_Toc225912980"/>
      <w:bookmarkStart w:id="2769" w:name="_Toc225913073"/>
      <w:bookmarkStart w:id="2770" w:name="_Toc225913238"/>
      <w:bookmarkStart w:id="2771" w:name="_Toc225913339"/>
      <w:bookmarkStart w:id="2772" w:name="_Toc225913559"/>
      <w:bookmarkStart w:id="2773" w:name="_Toc225913765"/>
      <w:bookmarkStart w:id="2774" w:name="_Toc225913861"/>
      <w:bookmarkStart w:id="2775" w:name="_Toc225913957"/>
      <w:bookmarkStart w:id="2776" w:name="_Toc225914053"/>
      <w:bookmarkStart w:id="2777" w:name="_Toc225914149"/>
      <w:bookmarkStart w:id="2778" w:name="_Toc225914276"/>
      <w:bookmarkStart w:id="2779" w:name="_Toc225914372"/>
      <w:bookmarkStart w:id="2780" w:name="_Toc225914646"/>
      <w:bookmarkStart w:id="2781" w:name="_Toc225914742"/>
      <w:bookmarkStart w:id="2782" w:name="_Toc225914839"/>
      <w:bookmarkStart w:id="2783" w:name="_Toc225914937"/>
      <w:bookmarkStart w:id="2784" w:name="_Toc225915034"/>
      <w:bookmarkStart w:id="2785" w:name="_Toc225915132"/>
      <w:bookmarkStart w:id="2786" w:name="_Toc225921500"/>
      <w:bookmarkStart w:id="2787" w:name="_Toc226779684"/>
      <w:bookmarkStart w:id="2788" w:name="_Toc226807270"/>
      <w:bookmarkStart w:id="2789" w:name="_Toc226807384"/>
      <w:bookmarkStart w:id="2790" w:name="_Toc226807498"/>
      <w:bookmarkStart w:id="2791" w:name="_Toc226807609"/>
      <w:bookmarkStart w:id="2792" w:name="_Toc226808496"/>
      <w:bookmarkStart w:id="2793" w:name="_Toc226808607"/>
      <w:bookmarkStart w:id="2794" w:name="_Toc229150791"/>
      <w:bookmarkStart w:id="2795" w:name="_Toc231981235"/>
      <w:bookmarkStart w:id="2796" w:name="_Toc234672924"/>
      <w:bookmarkStart w:id="2797" w:name="_Toc234673034"/>
      <w:bookmarkStart w:id="2798" w:name="_Toc234673143"/>
      <w:bookmarkStart w:id="2799" w:name="_Toc234673252"/>
      <w:bookmarkStart w:id="2800" w:name="_Toc234673361"/>
      <w:bookmarkStart w:id="2801" w:name="_Toc234673580"/>
      <w:bookmarkStart w:id="2802" w:name="_Toc234673690"/>
      <w:bookmarkStart w:id="2803" w:name="_Toc234744106"/>
      <w:bookmarkStart w:id="2804" w:name="_Toc234744320"/>
      <w:bookmarkStart w:id="2805" w:name="_Toc234750750"/>
      <w:bookmarkStart w:id="2806" w:name="_Toc234750862"/>
      <w:bookmarkStart w:id="2807" w:name="_Toc234923954"/>
      <w:bookmarkStart w:id="2808" w:name="_Toc234925876"/>
      <w:bookmarkStart w:id="2809" w:name="_Toc235615309"/>
      <w:bookmarkStart w:id="2810" w:name="_Toc235616798"/>
      <w:bookmarkStart w:id="2811" w:name="_Toc235857046"/>
      <w:bookmarkStart w:id="2812" w:name="_Toc237334744"/>
      <w:bookmarkStart w:id="2813" w:name="_Toc237919697"/>
      <w:bookmarkStart w:id="2814" w:name="_Toc238276621"/>
      <w:bookmarkStart w:id="2815" w:name="_Toc238869564"/>
      <w:bookmarkStart w:id="2816" w:name="_Toc238873117"/>
      <w:bookmarkStart w:id="2817" w:name="_Toc238873490"/>
      <w:bookmarkStart w:id="2818" w:name="_Toc238877027"/>
      <w:bookmarkStart w:id="2819" w:name="_Toc240107396"/>
      <w:bookmarkStart w:id="2820" w:name="_Toc240159627"/>
      <w:bookmarkStart w:id="2821" w:name="_Toc240159779"/>
      <w:bookmarkStart w:id="2822" w:name="_Toc240255817"/>
      <w:bookmarkStart w:id="2823" w:name="_Toc240267721"/>
      <w:bookmarkStart w:id="2824" w:name="_Toc240267832"/>
      <w:bookmarkStart w:id="2825" w:name="_Toc240268225"/>
      <w:bookmarkStart w:id="2826" w:name="_Toc240268480"/>
      <w:bookmarkStart w:id="2827" w:name="_Toc240268593"/>
      <w:bookmarkStart w:id="2828" w:name="_Toc240268704"/>
      <w:bookmarkStart w:id="2829" w:name="_Toc240454295"/>
      <w:bookmarkStart w:id="2830" w:name="_Toc240697980"/>
      <w:bookmarkStart w:id="2831" w:name="_Toc258937782"/>
      <w:bookmarkStart w:id="2832" w:name="_Toc261418432"/>
      <w:bookmarkStart w:id="2833" w:name="_Toc261458616"/>
      <w:bookmarkStart w:id="2834" w:name="_Toc261459004"/>
      <w:bookmarkStart w:id="2835" w:name="_Toc262203326"/>
      <w:bookmarkStart w:id="2836" w:name="_Toc262218663"/>
      <w:bookmarkStart w:id="2837" w:name="_Toc262319119"/>
      <w:bookmarkStart w:id="2838" w:name="_Toc262459013"/>
      <w:bookmarkStart w:id="2839" w:name="_Toc262459867"/>
      <w:bookmarkStart w:id="2840" w:name="_Toc262460282"/>
      <w:bookmarkStart w:id="2841" w:name="_Toc262460409"/>
      <w:bookmarkStart w:id="2842" w:name="_Toc262460536"/>
      <w:bookmarkStart w:id="2843" w:name="_Toc262481032"/>
      <w:bookmarkStart w:id="2844" w:name="_Toc262483222"/>
      <w:bookmarkStart w:id="2845" w:name="_Toc262483357"/>
      <w:bookmarkStart w:id="2846" w:name="_Toc262483493"/>
      <w:bookmarkStart w:id="2847" w:name="_Toc262483629"/>
      <w:bookmarkStart w:id="2848" w:name="_Toc262483764"/>
      <w:bookmarkStart w:id="2849" w:name="_Toc262483899"/>
      <w:bookmarkStart w:id="2850" w:name="_Toc304736451"/>
      <w:bookmarkStart w:id="2851" w:name="_Toc304736685"/>
      <w:bookmarkStart w:id="2852" w:name="_Toc304736933"/>
      <w:bookmarkStart w:id="2853" w:name="_Toc304737239"/>
      <w:bookmarkStart w:id="2854" w:name="_Toc326700934"/>
      <w:bookmarkStart w:id="2855" w:name="_Toc326701572"/>
      <w:bookmarkStart w:id="2856" w:name="_Toc326730918"/>
      <w:bookmarkStart w:id="2857" w:name="_Toc326731104"/>
      <w:bookmarkStart w:id="2858" w:name="_Toc326731602"/>
      <w:bookmarkStart w:id="2859" w:name="_Toc326732514"/>
      <w:bookmarkStart w:id="2860" w:name="_Toc326734245"/>
      <w:bookmarkStart w:id="2861" w:name="_Toc326735194"/>
      <w:bookmarkStart w:id="2862" w:name="_Toc326735505"/>
      <w:bookmarkStart w:id="2863" w:name="_Toc343676076"/>
      <w:bookmarkStart w:id="2864" w:name="_Toc358619439"/>
      <w:bookmarkStart w:id="2865" w:name="_Toc358620704"/>
      <w:bookmarkStart w:id="2866" w:name="_Toc358621911"/>
      <w:bookmarkStart w:id="2867" w:name="_Toc358622888"/>
      <w:bookmarkStart w:id="2868" w:name="_Toc358623016"/>
      <w:bookmarkStart w:id="2869" w:name="_Toc390247946"/>
      <w:bookmarkStart w:id="2870" w:name="_Toc421258457"/>
      <w:bookmarkStart w:id="2871" w:name="_Toc421264525"/>
      <w:bookmarkStart w:id="2872" w:name="_Toc421264769"/>
      <w:bookmarkStart w:id="2873" w:name="_Toc421265084"/>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673413D7" w14:textId="77777777" w:rsidR="00A65F5F" w:rsidRPr="00E1451C" w:rsidRDefault="00A65F5F" w:rsidP="00EF0D70">
      <w:pPr>
        <w:pStyle w:val="Ttulo2"/>
        <w:numPr>
          <w:ilvl w:val="1"/>
          <w:numId w:val="55"/>
        </w:numPr>
      </w:pPr>
      <w:bookmarkStart w:id="2874" w:name="_Toc304737240"/>
      <w:bookmarkStart w:id="2875" w:name="_Toc343676077"/>
      <w:bookmarkStart w:id="2876" w:name="_Toc358619440"/>
      <w:bookmarkStart w:id="2877" w:name="_Toc358620705"/>
      <w:bookmarkStart w:id="2878" w:name="_Toc358621912"/>
      <w:bookmarkStart w:id="2879" w:name="_Toc358622889"/>
      <w:bookmarkStart w:id="2880" w:name="_Toc26357175"/>
      <w:bookmarkStart w:id="2881" w:name="_Toc138664963"/>
      <w:r w:rsidRPr="00670E95">
        <w:t xml:space="preserve">Directores </w:t>
      </w:r>
      <w:r w:rsidRPr="00CC14A9">
        <w:t>del Instituto Costarricense</w:t>
      </w:r>
      <w:r>
        <w:t xml:space="preserve"> de Electricidad</w:t>
      </w:r>
      <w:r w:rsidRPr="00670E95">
        <w:t>.</w:t>
      </w:r>
      <w:bookmarkStart w:id="2882" w:name="_Toc191377642"/>
      <w:bookmarkStart w:id="2883" w:name="_Toc192577389"/>
      <w:bookmarkStart w:id="2884" w:name="_Toc192591263"/>
      <w:bookmarkStart w:id="2885" w:name="_Toc192925771"/>
      <w:bookmarkStart w:id="2886" w:name="_Toc192925858"/>
      <w:bookmarkStart w:id="2887" w:name="_Toc192933514"/>
      <w:bookmarkStart w:id="2888" w:name="_Toc192933745"/>
      <w:bookmarkStart w:id="2889" w:name="_Toc193006327"/>
      <w:bookmarkStart w:id="2890" w:name="_Toc193006418"/>
      <w:bookmarkStart w:id="2891" w:name="_Toc193006508"/>
      <w:bookmarkStart w:id="2892" w:name="_Toc193006598"/>
      <w:bookmarkStart w:id="2893" w:name="_Toc193006688"/>
      <w:bookmarkStart w:id="2894" w:name="_Toc193006777"/>
      <w:bookmarkStart w:id="2895" w:name="_Toc193114070"/>
      <w:bookmarkStart w:id="2896" w:name="_Toc193185714"/>
      <w:bookmarkStart w:id="2897" w:name="_Toc193188601"/>
      <w:bookmarkStart w:id="2898" w:name="_Toc193200053"/>
      <w:bookmarkStart w:id="2899" w:name="_Toc197158915"/>
      <w:bookmarkStart w:id="2900" w:name="_Toc197160178"/>
      <w:bookmarkStart w:id="2901" w:name="_Toc197235643"/>
      <w:bookmarkStart w:id="2902" w:name="_Toc197235981"/>
      <w:bookmarkStart w:id="2903" w:name="_Toc199652862"/>
      <w:bookmarkStart w:id="2904" w:name="_Toc200335859"/>
      <w:bookmarkStart w:id="2905" w:name="_Toc206844817"/>
      <w:bookmarkStart w:id="2906" w:name="_Toc206905680"/>
      <w:bookmarkStart w:id="2907" w:name="_Toc207095789"/>
      <w:bookmarkStart w:id="2908" w:name="_Toc207098175"/>
      <w:bookmarkStart w:id="2909" w:name="_Toc207098368"/>
      <w:bookmarkStart w:id="2910" w:name="_Toc207098565"/>
      <w:bookmarkStart w:id="2911" w:name="_Toc207098665"/>
      <w:bookmarkStart w:id="2912" w:name="_Toc207098764"/>
      <w:bookmarkStart w:id="2913" w:name="_Toc207103425"/>
      <w:bookmarkStart w:id="2914" w:name="_Toc207178812"/>
      <w:bookmarkStart w:id="2915" w:name="_Toc208394692"/>
      <w:bookmarkStart w:id="2916" w:name="_Toc210618903"/>
      <w:bookmarkStart w:id="2917" w:name="_Toc210619185"/>
      <w:bookmarkStart w:id="2918" w:name="_Toc210619412"/>
      <w:bookmarkStart w:id="2919" w:name="_Toc210619920"/>
      <w:bookmarkStart w:id="2920" w:name="_Toc222025476"/>
      <w:bookmarkStart w:id="2921" w:name="_Toc222030412"/>
      <w:bookmarkStart w:id="2922" w:name="_Toc222135043"/>
      <w:bookmarkStart w:id="2923" w:name="_Toc222675464"/>
      <w:bookmarkStart w:id="2924" w:name="_Toc222828432"/>
      <w:bookmarkStart w:id="2925" w:name="_Toc222828529"/>
      <w:bookmarkStart w:id="2926" w:name="_Toc222887742"/>
      <w:bookmarkStart w:id="2927" w:name="_Toc222912208"/>
      <w:bookmarkStart w:id="2928" w:name="_Toc222915267"/>
      <w:bookmarkStart w:id="2929" w:name="_Toc222915361"/>
      <w:bookmarkStart w:id="2930" w:name="_Toc222919743"/>
      <w:bookmarkStart w:id="2931" w:name="_Toc222919837"/>
      <w:bookmarkStart w:id="2932" w:name="_Toc222919932"/>
      <w:bookmarkStart w:id="2933" w:name="_Toc222920235"/>
      <w:bookmarkStart w:id="2934" w:name="_Toc223164589"/>
      <w:bookmarkStart w:id="2935" w:name="_Toc223176022"/>
      <w:bookmarkStart w:id="2936" w:name="_Toc223337148"/>
      <w:bookmarkStart w:id="2937" w:name="_Toc223337241"/>
      <w:bookmarkStart w:id="2938" w:name="_Toc223342234"/>
      <w:bookmarkStart w:id="2939" w:name="_Toc223357599"/>
      <w:bookmarkStart w:id="2940" w:name="_Toc223357690"/>
      <w:bookmarkStart w:id="2941" w:name="_Toc223491464"/>
      <w:bookmarkStart w:id="2942" w:name="_Toc225051394"/>
      <w:bookmarkStart w:id="2943" w:name="_Toc225073484"/>
      <w:bookmarkStart w:id="2944" w:name="_Toc225078432"/>
      <w:bookmarkStart w:id="2945" w:name="_Toc225078523"/>
      <w:bookmarkStart w:id="2946" w:name="_Toc225079364"/>
      <w:bookmarkStart w:id="2947" w:name="_Toc225148990"/>
      <w:bookmarkStart w:id="2948" w:name="_Toc225149081"/>
      <w:bookmarkStart w:id="2949" w:name="_Toc225149172"/>
      <w:bookmarkStart w:id="2950" w:name="_Toc225154740"/>
      <w:bookmarkStart w:id="2951" w:name="_Toc225156254"/>
      <w:bookmarkStart w:id="2952" w:name="_Toc225160923"/>
      <w:bookmarkStart w:id="2953" w:name="_Toc225223163"/>
      <w:bookmarkStart w:id="2954" w:name="_Toc225241404"/>
      <w:bookmarkStart w:id="2955" w:name="_Toc225242789"/>
      <w:bookmarkStart w:id="2956" w:name="_Toc225242881"/>
      <w:bookmarkStart w:id="2957" w:name="_Toc225307387"/>
      <w:bookmarkStart w:id="2958" w:name="_Toc225307479"/>
      <w:bookmarkStart w:id="2959" w:name="_Toc225912383"/>
      <w:bookmarkStart w:id="2960" w:name="_Toc225912491"/>
      <w:bookmarkStart w:id="2961" w:name="_Toc225912583"/>
      <w:bookmarkStart w:id="2962" w:name="_Toc225912707"/>
      <w:bookmarkStart w:id="2963" w:name="_Toc225912799"/>
      <w:bookmarkStart w:id="2964" w:name="_Toc225912891"/>
      <w:bookmarkStart w:id="2965" w:name="_Toc225912983"/>
      <w:bookmarkStart w:id="2966" w:name="_Toc225913076"/>
      <w:bookmarkStart w:id="2967" w:name="_Toc225913241"/>
      <w:bookmarkStart w:id="2968" w:name="_Toc225913342"/>
      <w:bookmarkStart w:id="2969" w:name="_Toc225913562"/>
      <w:bookmarkStart w:id="2970" w:name="_Toc225913768"/>
      <w:bookmarkStart w:id="2971" w:name="_Toc225913864"/>
      <w:bookmarkStart w:id="2972" w:name="_Toc225913960"/>
      <w:bookmarkStart w:id="2973" w:name="_Toc225914056"/>
      <w:bookmarkStart w:id="2974" w:name="_Toc225914152"/>
      <w:bookmarkStart w:id="2975" w:name="_Toc225914279"/>
      <w:bookmarkStart w:id="2976" w:name="_Toc225914375"/>
      <w:bookmarkStart w:id="2977" w:name="_Toc225914649"/>
      <w:bookmarkStart w:id="2978" w:name="_Toc225914745"/>
      <w:bookmarkStart w:id="2979" w:name="_Toc225914842"/>
      <w:bookmarkStart w:id="2980" w:name="_Toc225914940"/>
      <w:bookmarkStart w:id="2981" w:name="_Toc225915037"/>
      <w:bookmarkStart w:id="2982" w:name="_Toc225915135"/>
      <w:bookmarkStart w:id="2983" w:name="_Toc225921503"/>
      <w:bookmarkStart w:id="2984" w:name="_Toc226779687"/>
      <w:bookmarkStart w:id="2985" w:name="_Toc226807273"/>
      <w:bookmarkStart w:id="2986" w:name="_Toc226807387"/>
      <w:bookmarkStart w:id="2987" w:name="_Toc226807501"/>
      <w:bookmarkStart w:id="2988" w:name="_Toc226807612"/>
      <w:bookmarkStart w:id="2989" w:name="_Toc226808499"/>
      <w:bookmarkStart w:id="2990" w:name="_Toc226808610"/>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14:paraId="53EA0E99" w14:textId="77777777" w:rsidR="00A65F5F" w:rsidRPr="00670E95" w:rsidRDefault="00A65F5F" w:rsidP="00A65F5F">
      <w:pPr>
        <w:pStyle w:val="Ttulo3"/>
        <w:ind w:left="0" w:firstLine="360"/>
      </w:pPr>
      <w:bookmarkStart w:id="2991" w:name="_Toc191377643"/>
      <w:bookmarkStart w:id="2992" w:name="_Toc192577390"/>
      <w:bookmarkStart w:id="2993" w:name="_Toc192591264"/>
      <w:bookmarkStart w:id="2994" w:name="_Toc192925772"/>
      <w:bookmarkStart w:id="2995" w:name="_Toc192925859"/>
      <w:bookmarkStart w:id="2996" w:name="_Toc192933515"/>
      <w:bookmarkStart w:id="2997" w:name="_Toc192933746"/>
      <w:bookmarkStart w:id="2998" w:name="_Toc193006328"/>
      <w:bookmarkStart w:id="2999" w:name="_Toc193006419"/>
      <w:bookmarkStart w:id="3000" w:name="_Toc193006509"/>
      <w:bookmarkStart w:id="3001" w:name="_Toc193006599"/>
      <w:bookmarkStart w:id="3002" w:name="_Toc193006689"/>
      <w:bookmarkStart w:id="3003" w:name="_Toc193006778"/>
      <w:bookmarkStart w:id="3004" w:name="_Toc193114071"/>
      <w:bookmarkStart w:id="3005" w:name="_Toc193185715"/>
      <w:bookmarkStart w:id="3006" w:name="_Toc193188602"/>
      <w:bookmarkStart w:id="3007" w:name="_Toc193200054"/>
      <w:bookmarkStart w:id="3008" w:name="_Toc197158916"/>
      <w:bookmarkStart w:id="3009" w:name="_Toc197160179"/>
      <w:bookmarkStart w:id="3010" w:name="_Toc197235644"/>
      <w:bookmarkStart w:id="3011" w:name="_Toc197235982"/>
      <w:bookmarkStart w:id="3012" w:name="_Toc199652863"/>
      <w:bookmarkStart w:id="3013" w:name="_Toc200335860"/>
      <w:bookmarkStart w:id="3014" w:name="_Toc206844818"/>
      <w:bookmarkStart w:id="3015" w:name="_Toc206905681"/>
      <w:bookmarkStart w:id="3016" w:name="_Toc207095790"/>
      <w:bookmarkStart w:id="3017" w:name="_Toc207098176"/>
      <w:bookmarkStart w:id="3018" w:name="_Toc207098369"/>
      <w:bookmarkStart w:id="3019" w:name="_Toc207098566"/>
      <w:bookmarkStart w:id="3020" w:name="_Toc207098666"/>
      <w:bookmarkStart w:id="3021" w:name="_Toc207098765"/>
      <w:bookmarkStart w:id="3022" w:name="_Toc207103426"/>
      <w:bookmarkStart w:id="3023" w:name="_Toc207178813"/>
      <w:bookmarkStart w:id="3024" w:name="_Toc208394693"/>
      <w:bookmarkStart w:id="3025" w:name="_Toc210618904"/>
      <w:bookmarkStart w:id="3026" w:name="_Toc210619186"/>
      <w:bookmarkStart w:id="3027" w:name="_Toc210619413"/>
      <w:bookmarkStart w:id="3028" w:name="_Toc210619921"/>
      <w:bookmarkStart w:id="3029" w:name="_Toc222025477"/>
      <w:bookmarkStart w:id="3030" w:name="_Toc222030413"/>
      <w:bookmarkStart w:id="3031" w:name="_Toc222135044"/>
      <w:bookmarkStart w:id="3032" w:name="_Toc222675465"/>
      <w:bookmarkStart w:id="3033" w:name="_Toc222828433"/>
      <w:bookmarkStart w:id="3034" w:name="_Toc222828530"/>
      <w:bookmarkStart w:id="3035" w:name="_Toc222887743"/>
      <w:bookmarkStart w:id="3036" w:name="_Toc222912209"/>
      <w:bookmarkStart w:id="3037" w:name="_Toc222915268"/>
      <w:bookmarkStart w:id="3038" w:name="_Toc222915362"/>
      <w:bookmarkStart w:id="3039" w:name="_Toc222919744"/>
      <w:bookmarkStart w:id="3040" w:name="_Toc222919838"/>
      <w:bookmarkStart w:id="3041" w:name="_Toc222919933"/>
      <w:bookmarkStart w:id="3042" w:name="_Toc222920236"/>
      <w:bookmarkStart w:id="3043" w:name="_Toc223164590"/>
      <w:bookmarkStart w:id="3044" w:name="_Toc223176023"/>
      <w:bookmarkStart w:id="3045" w:name="_Toc223337149"/>
      <w:bookmarkStart w:id="3046" w:name="_Toc223337242"/>
      <w:bookmarkStart w:id="3047" w:name="_Toc223342235"/>
      <w:bookmarkStart w:id="3048" w:name="_Toc223357600"/>
      <w:bookmarkStart w:id="3049" w:name="_Toc223357691"/>
      <w:bookmarkStart w:id="3050" w:name="_Toc223491465"/>
      <w:bookmarkStart w:id="3051" w:name="_Toc225051395"/>
      <w:bookmarkStart w:id="3052" w:name="_Toc225073485"/>
      <w:bookmarkStart w:id="3053" w:name="_Toc225078433"/>
      <w:bookmarkStart w:id="3054" w:name="_Toc225078524"/>
      <w:bookmarkStart w:id="3055" w:name="_Toc225079365"/>
      <w:bookmarkStart w:id="3056" w:name="_Toc225148991"/>
      <w:bookmarkStart w:id="3057" w:name="_Toc225149082"/>
      <w:bookmarkStart w:id="3058" w:name="_Toc225149173"/>
      <w:bookmarkStart w:id="3059" w:name="_Toc225154741"/>
      <w:bookmarkStart w:id="3060" w:name="_Toc225156255"/>
      <w:bookmarkStart w:id="3061" w:name="_Toc225160924"/>
      <w:bookmarkStart w:id="3062" w:name="_Toc225223164"/>
      <w:bookmarkStart w:id="3063" w:name="_Toc225241405"/>
      <w:bookmarkStart w:id="3064" w:name="_Toc225242790"/>
      <w:bookmarkStart w:id="3065" w:name="_Toc225242882"/>
      <w:bookmarkStart w:id="3066" w:name="_Toc225307388"/>
      <w:bookmarkStart w:id="3067" w:name="_Toc225307480"/>
      <w:bookmarkStart w:id="3068" w:name="_Toc225912384"/>
      <w:bookmarkStart w:id="3069" w:name="_Toc225912492"/>
      <w:bookmarkStart w:id="3070" w:name="_Toc225912584"/>
      <w:bookmarkStart w:id="3071" w:name="_Toc225912708"/>
      <w:bookmarkStart w:id="3072" w:name="_Toc225912800"/>
      <w:bookmarkStart w:id="3073" w:name="_Toc225912892"/>
      <w:bookmarkStart w:id="3074" w:name="_Toc225912984"/>
      <w:bookmarkStart w:id="3075" w:name="_Toc225913077"/>
      <w:bookmarkStart w:id="3076" w:name="_Toc225913242"/>
      <w:bookmarkStart w:id="3077" w:name="_Toc225913343"/>
      <w:bookmarkStart w:id="3078" w:name="_Toc225913563"/>
      <w:bookmarkStart w:id="3079" w:name="_Toc225913769"/>
      <w:bookmarkStart w:id="3080" w:name="_Toc225913865"/>
      <w:bookmarkStart w:id="3081" w:name="_Toc225913961"/>
      <w:bookmarkStart w:id="3082" w:name="_Toc225914057"/>
      <w:bookmarkStart w:id="3083" w:name="_Toc225914153"/>
      <w:bookmarkStart w:id="3084" w:name="_Toc225914280"/>
      <w:bookmarkStart w:id="3085" w:name="_Toc225914376"/>
      <w:bookmarkStart w:id="3086" w:name="_Toc225914650"/>
      <w:bookmarkStart w:id="3087" w:name="_Toc225914746"/>
      <w:bookmarkStart w:id="3088" w:name="_Toc225914843"/>
      <w:bookmarkStart w:id="3089" w:name="_Toc225914941"/>
      <w:bookmarkStart w:id="3090" w:name="_Toc225915038"/>
      <w:bookmarkStart w:id="3091" w:name="_Toc225915136"/>
      <w:bookmarkStart w:id="3092" w:name="_Toc225921504"/>
      <w:bookmarkStart w:id="3093" w:name="_Toc226779688"/>
      <w:bookmarkStart w:id="3094" w:name="_Toc226807274"/>
      <w:bookmarkStart w:id="3095" w:name="_Toc226807388"/>
      <w:bookmarkStart w:id="3096" w:name="_Toc226807502"/>
      <w:bookmarkStart w:id="3097" w:name="_Toc226807613"/>
      <w:bookmarkStart w:id="3098" w:name="_Toc226808500"/>
      <w:bookmarkStart w:id="3099" w:name="_Toc226808611"/>
      <w:bookmarkStart w:id="3100" w:name="_Toc226809124"/>
      <w:bookmarkStart w:id="3101" w:name="_Toc226809234"/>
      <w:bookmarkStart w:id="3102" w:name="_Toc226809345"/>
      <w:bookmarkStart w:id="3103" w:name="_Toc226809455"/>
      <w:bookmarkStart w:id="3104" w:name="_Toc226809561"/>
      <w:bookmarkStart w:id="3105" w:name="_Toc226809878"/>
      <w:bookmarkStart w:id="3106" w:name="_Toc226810125"/>
      <w:bookmarkStart w:id="3107" w:name="_Toc228013156"/>
      <w:bookmarkStart w:id="3108" w:name="_Toc228084850"/>
      <w:bookmarkStart w:id="3109" w:name="_Toc228087407"/>
      <w:bookmarkStart w:id="3110" w:name="_Toc228098646"/>
      <w:bookmarkStart w:id="3111" w:name="_Toc228696432"/>
      <w:bookmarkStart w:id="3112" w:name="_Toc229149195"/>
      <w:bookmarkStart w:id="3113" w:name="_Toc229149333"/>
      <w:bookmarkStart w:id="3114" w:name="_Toc229150153"/>
      <w:bookmarkStart w:id="3115" w:name="_Toc229150793"/>
      <w:bookmarkStart w:id="3116" w:name="_Toc231981237"/>
      <w:bookmarkStart w:id="3117" w:name="_Toc234672926"/>
      <w:bookmarkStart w:id="3118" w:name="_Toc234673036"/>
      <w:bookmarkStart w:id="3119" w:name="_Toc234673145"/>
      <w:bookmarkStart w:id="3120" w:name="_Toc234673254"/>
      <w:bookmarkStart w:id="3121" w:name="_Toc234673363"/>
      <w:bookmarkStart w:id="3122" w:name="_Toc234673582"/>
      <w:bookmarkStart w:id="3123" w:name="_Toc234673692"/>
      <w:bookmarkStart w:id="3124" w:name="_Toc234744108"/>
      <w:bookmarkStart w:id="3125" w:name="_Toc234744322"/>
      <w:bookmarkStart w:id="3126" w:name="_Toc234750752"/>
      <w:bookmarkStart w:id="3127" w:name="_Toc234750864"/>
      <w:bookmarkStart w:id="3128" w:name="_Toc234923956"/>
      <w:bookmarkStart w:id="3129" w:name="_Toc234925878"/>
      <w:bookmarkStart w:id="3130" w:name="_Toc235615311"/>
      <w:bookmarkStart w:id="3131" w:name="_Toc235616800"/>
      <w:bookmarkStart w:id="3132" w:name="_Toc235857048"/>
      <w:bookmarkStart w:id="3133" w:name="_Toc237334746"/>
      <w:bookmarkStart w:id="3134" w:name="_Toc237919699"/>
      <w:bookmarkStart w:id="3135" w:name="_Toc238276623"/>
      <w:bookmarkStart w:id="3136" w:name="_Toc238869566"/>
      <w:bookmarkStart w:id="3137" w:name="_Toc238873119"/>
      <w:bookmarkStart w:id="3138" w:name="_Toc238873492"/>
      <w:bookmarkStart w:id="3139" w:name="_Toc238877029"/>
      <w:bookmarkStart w:id="3140" w:name="_Toc240107398"/>
      <w:bookmarkStart w:id="3141" w:name="_Toc240159629"/>
      <w:bookmarkStart w:id="3142" w:name="_Toc240159781"/>
      <w:bookmarkStart w:id="3143" w:name="_Toc240255819"/>
      <w:bookmarkStart w:id="3144" w:name="_Toc240267723"/>
      <w:bookmarkStart w:id="3145" w:name="_Toc240267834"/>
      <w:bookmarkStart w:id="3146" w:name="_Toc240268227"/>
      <w:bookmarkStart w:id="3147" w:name="_Toc240268482"/>
      <w:bookmarkStart w:id="3148" w:name="_Toc240268595"/>
      <w:bookmarkStart w:id="3149" w:name="_Toc240268706"/>
      <w:bookmarkStart w:id="3150" w:name="_Toc240454297"/>
      <w:bookmarkStart w:id="3151" w:name="_Toc240697982"/>
      <w:bookmarkStart w:id="3152" w:name="_Toc258937784"/>
      <w:bookmarkStart w:id="3153" w:name="_Toc261418434"/>
      <w:bookmarkStart w:id="3154" w:name="_Toc261458618"/>
      <w:bookmarkStart w:id="3155" w:name="_Toc261459006"/>
      <w:bookmarkStart w:id="3156" w:name="_Toc262203328"/>
      <w:bookmarkStart w:id="3157" w:name="_Toc262218665"/>
      <w:bookmarkStart w:id="3158" w:name="_Toc262319121"/>
      <w:bookmarkStart w:id="3159" w:name="_Toc262459015"/>
      <w:bookmarkStart w:id="3160" w:name="_Toc262459869"/>
      <w:bookmarkStart w:id="3161" w:name="_Toc262460284"/>
      <w:bookmarkStart w:id="3162" w:name="_Toc262460411"/>
      <w:bookmarkStart w:id="3163" w:name="_Toc262460538"/>
      <w:bookmarkStart w:id="3164" w:name="_Toc262481034"/>
      <w:bookmarkStart w:id="3165" w:name="_Toc262483224"/>
      <w:bookmarkStart w:id="3166" w:name="_Toc262483359"/>
      <w:bookmarkStart w:id="3167" w:name="_Toc262483495"/>
      <w:bookmarkStart w:id="3168" w:name="_Toc262483631"/>
      <w:bookmarkStart w:id="3169" w:name="_Toc262483766"/>
      <w:bookmarkStart w:id="3170" w:name="_Toc262483901"/>
      <w:bookmarkStart w:id="3171" w:name="_Toc304736453"/>
      <w:bookmarkStart w:id="3172" w:name="_Toc304736687"/>
      <w:bookmarkStart w:id="3173" w:name="_Toc304736935"/>
      <w:bookmarkStart w:id="3174" w:name="_Toc304737241"/>
      <w:bookmarkStart w:id="3175" w:name="_Toc326700936"/>
      <w:bookmarkStart w:id="3176" w:name="_Toc326701574"/>
      <w:bookmarkStart w:id="3177" w:name="_Toc326730920"/>
      <w:bookmarkStart w:id="3178" w:name="_Toc326731106"/>
      <w:bookmarkStart w:id="3179" w:name="_Toc326731604"/>
      <w:bookmarkStart w:id="3180" w:name="_Toc326732516"/>
      <w:bookmarkStart w:id="3181" w:name="_Toc326734247"/>
      <w:bookmarkStart w:id="3182" w:name="_Toc326735196"/>
      <w:bookmarkStart w:id="3183" w:name="_Toc326735507"/>
      <w:bookmarkStart w:id="3184" w:name="_Toc343676078"/>
      <w:bookmarkStart w:id="3185" w:name="_Toc358619441"/>
      <w:bookmarkStart w:id="3186" w:name="_Toc358620706"/>
      <w:bookmarkStart w:id="3187" w:name="_Toc358621913"/>
      <w:bookmarkStart w:id="3188" w:name="_Toc358622890"/>
      <w:bookmarkStart w:id="3189" w:name="_Toc358623018"/>
      <w:bookmarkStart w:id="3190" w:name="_Toc390247948"/>
      <w:bookmarkStart w:id="3191" w:name="_Toc421258459"/>
      <w:bookmarkStart w:id="3192" w:name="_Toc421264527"/>
      <w:bookmarkStart w:id="3193" w:name="_Toc421264771"/>
      <w:bookmarkStart w:id="3194" w:name="_Toc421265086"/>
      <w:bookmarkStart w:id="3195" w:name="_Toc304737242"/>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r>
        <w:t xml:space="preserve"> </w:t>
      </w:r>
      <w:bookmarkStart w:id="3196" w:name="_Toc343676079"/>
      <w:bookmarkStart w:id="3197" w:name="_Toc358619442"/>
      <w:bookmarkStart w:id="3198" w:name="_Toc358620707"/>
      <w:bookmarkStart w:id="3199" w:name="_Toc358621914"/>
      <w:bookmarkStart w:id="3200" w:name="_Toc358622891"/>
      <w:bookmarkStart w:id="3201" w:name="_Toc26357176"/>
      <w:bookmarkStart w:id="3202" w:name="_Toc138664964"/>
      <w:r>
        <w:t xml:space="preserve">6.1.1 </w:t>
      </w:r>
      <w:r w:rsidRPr="00670E95">
        <w:t xml:space="preserve">Miembros de la </w:t>
      </w:r>
      <w:r w:rsidRPr="00767E34">
        <w:t>Junta Directiva y Fiscal</w:t>
      </w:r>
      <w:bookmarkEnd w:id="3195"/>
      <w:bookmarkEnd w:id="3196"/>
      <w:bookmarkEnd w:id="3197"/>
      <w:bookmarkEnd w:id="3198"/>
      <w:bookmarkEnd w:id="3199"/>
      <w:bookmarkEnd w:id="3200"/>
      <w:bookmarkEnd w:id="3201"/>
      <w:bookmarkEnd w:id="3202"/>
    </w:p>
    <w:p w14:paraId="553EE836" w14:textId="77777777" w:rsidR="00A65F5F" w:rsidRPr="00670E95" w:rsidRDefault="00A65F5F" w:rsidP="00A65F5F">
      <w:pPr>
        <w:tabs>
          <w:tab w:val="left" w:pos="5827"/>
        </w:tabs>
        <w:ind w:left="-540" w:right="-25"/>
      </w:pPr>
      <w:r>
        <w:tab/>
      </w:r>
    </w:p>
    <w:p w14:paraId="695F3748" w14:textId="77777777" w:rsidR="00A65F5F" w:rsidRDefault="00A65F5F" w:rsidP="00A65F5F">
      <w:pPr>
        <w:ind w:left="-540" w:right="-25" w:firstLine="900"/>
      </w:pPr>
      <w:r>
        <w:t>E</w:t>
      </w:r>
      <w:r w:rsidRPr="00E73F1F">
        <w:t>l Consejo Directivo del ICE Grupo se encuentra compuesto de la siguiente manera:</w:t>
      </w:r>
    </w:p>
    <w:p w14:paraId="04D8B2EE" w14:textId="77777777" w:rsidR="009638CF" w:rsidRDefault="009638CF" w:rsidP="00A65F5F">
      <w:pPr>
        <w:ind w:left="-540" w:right="-25" w:firstLine="900"/>
      </w:pPr>
    </w:p>
    <w:p w14:paraId="08550BE9" w14:textId="77777777" w:rsidR="009638CF" w:rsidRDefault="009638CF" w:rsidP="009638CF">
      <w:pPr>
        <w:ind w:right="-25"/>
        <w:jc w:val="left"/>
      </w:pPr>
    </w:p>
    <w:tbl>
      <w:tblPr>
        <w:tblStyle w:val="Tablaconcuadrcula"/>
        <w:tblW w:w="8765" w:type="dxa"/>
        <w:jc w:val="center"/>
        <w:tblLayout w:type="fixed"/>
        <w:tblLook w:val="04A0" w:firstRow="1" w:lastRow="0" w:firstColumn="1" w:lastColumn="0" w:noHBand="0" w:noVBand="1"/>
      </w:tblPr>
      <w:tblGrid>
        <w:gridCol w:w="996"/>
        <w:gridCol w:w="1037"/>
        <w:gridCol w:w="1186"/>
        <w:gridCol w:w="1266"/>
        <w:gridCol w:w="1347"/>
        <w:gridCol w:w="851"/>
        <w:gridCol w:w="1036"/>
        <w:gridCol w:w="1046"/>
      </w:tblGrid>
      <w:tr w:rsidR="00E54474" w14:paraId="2C17ABFC" w14:textId="77777777" w:rsidTr="008C513D">
        <w:trPr>
          <w:trHeight w:val="1570"/>
          <w:jc w:val="center"/>
        </w:trPr>
        <w:tc>
          <w:tcPr>
            <w:tcW w:w="996" w:type="dxa"/>
          </w:tcPr>
          <w:p w14:paraId="41B6AD01" w14:textId="77777777" w:rsidR="00E54474" w:rsidRPr="007D78A7" w:rsidRDefault="00E54474" w:rsidP="00A65F5F">
            <w:pPr>
              <w:ind w:right="-25"/>
              <w:rPr>
                <w:sz w:val="18"/>
              </w:rPr>
            </w:pPr>
            <w:r w:rsidRPr="007D78A7">
              <w:rPr>
                <w:sz w:val="18"/>
              </w:rPr>
              <w:t>Nombre</w:t>
            </w:r>
          </w:p>
        </w:tc>
        <w:tc>
          <w:tcPr>
            <w:tcW w:w="1037" w:type="dxa"/>
          </w:tcPr>
          <w:p w14:paraId="1817E485" w14:textId="77777777" w:rsidR="00E54474" w:rsidRPr="00552A56" w:rsidRDefault="00E54474" w:rsidP="00A65F5F">
            <w:pPr>
              <w:ind w:right="-25"/>
              <w:rPr>
                <w:sz w:val="18"/>
              </w:rPr>
            </w:pPr>
            <w:r>
              <w:rPr>
                <w:sz w:val="18"/>
              </w:rPr>
              <w:t>Fecha nacimiento</w:t>
            </w:r>
          </w:p>
        </w:tc>
        <w:tc>
          <w:tcPr>
            <w:tcW w:w="1186" w:type="dxa"/>
          </w:tcPr>
          <w:p w14:paraId="67A67E08" w14:textId="77777777" w:rsidR="00E54474" w:rsidRPr="00552A56" w:rsidRDefault="00E54474" w:rsidP="00A65F5F">
            <w:pPr>
              <w:ind w:right="-25"/>
              <w:rPr>
                <w:sz w:val="18"/>
              </w:rPr>
            </w:pPr>
            <w:r>
              <w:rPr>
                <w:sz w:val="18"/>
              </w:rPr>
              <w:t>Poderes que ostenta</w:t>
            </w:r>
          </w:p>
        </w:tc>
        <w:tc>
          <w:tcPr>
            <w:tcW w:w="1266" w:type="dxa"/>
          </w:tcPr>
          <w:p w14:paraId="793DF030" w14:textId="77777777" w:rsidR="00E54474" w:rsidRPr="00552A56" w:rsidRDefault="00E54474" w:rsidP="00A65F5F">
            <w:pPr>
              <w:ind w:right="-25"/>
              <w:rPr>
                <w:sz w:val="18"/>
              </w:rPr>
            </w:pPr>
            <w:r>
              <w:rPr>
                <w:sz w:val="18"/>
              </w:rPr>
              <w:t>Fecha nombramiento</w:t>
            </w:r>
          </w:p>
        </w:tc>
        <w:tc>
          <w:tcPr>
            <w:tcW w:w="1347" w:type="dxa"/>
          </w:tcPr>
          <w:p w14:paraId="5834683B" w14:textId="77777777" w:rsidR="00E54474" w:rsidRDefault="00E54474" w:rsidP="00A65F5F">
            <w:pPr>
              <w:ind w:right="-25"/>
              <w:rPr>
                <w:sz w:val="18"/>
              </w:rPr>
            </w:pPr>
            <w:r>
              <w:rPr>
                <w:sz w:val="18"/>
              </w:rPr>
              <w:t>Fecha vencimiento nombramiento</w:t>
            </w:r>
          </w:p>
        </w:tc>
        <w:tc>
          <w:tcPr>
            <w:tcW w:w="851" w:type="dxa"/>
          </w:tcPr>
          <w:p w14:paraId="6D8F96F1" w14:textId="77777777" w:rsidR="00E54474" w:rsidRPr="00552A56" w:rsidRDefault="00E54474" w:rsidP="00A65F5F">
            <w:pPr>
              <w:ind w:right="-25"/>
              <w:rPr>
                <w:sz w:val="18"/>
              </w:rPr>
            </w:pPr>
            <w:r>
              <w:rPr>
                <w:sz w:val="18"/>
              </w:rPr>
              <w:t>Tiempo que ha ejercido el cargo</w:t>
            </w:r>
          </w:p>
        </w:tc>
        <w:tc>
          <w:tcPr>
            <w:tcW w:w="1036" w:type="dxa"/>
          </w:tcPr>
          <w:p w14:paraId="36293FB0" w14:textId="77777777" w:rsidR="00E54474" w:rsidRPr="00552A56" w:rsidRDefault="00E54474" w:rsidP="00A65F5F">
            <w:pPr>
              <w:ind w:right="-25"/>
              <w:rPr>
                <w:sz w:val="18"/>
              </w:rPr>
            </w:pPr>
            <w:r>
              <w:rPr>
                <w:sz w:val="18"/>
              </w:rPr>
              <w:t>Cargo</w:t>
            </w:r>
          </w:p>
        </w:tc>
        <w:tc>
          <w:tcPr>
            <w:tcW w:w="1046" w:type="dxa"/>
          </w:tcPr>
          <w:p w14:paraId="677D1A01" w14:textId="77777777" w:rsidR="00E54474" w:rsidRPr="00552A56" w:rsidRDefault="00E54474" w:rsidP="00A65F5F">
            <w:pPr>
              <w:ind w:right="-25"/>
              <w:rPr>
                <w:sz w:val="18"/>
              </w:rPr>
            </w:pPr>
            <w:r>
              <w:rPr>
                <w:sz w:val="18"/>
              </w:rPr>
              <w:t>Años de experiencia en el área de trabajo</w:t>
            </w:r>
          </w:p>
        </w:tc>
      </w:tr>
      <w:tr w:rsidR="00E54474" w:rsidRPr="00B72FF4" w14:paraId="2001BF89" w14:textId="77777777" w:rsidTr="008C513D">
        <w:trPr>
          <w:trHeight w:val="261"/>
          <w:jc w:val="center"/>
        </w:trPr>
        <w:tc>
          <w:tcPr>
            <w:tcW w:w="996" w:type="dxa"/>
          </w:tcPr>
          <w:p w14:paraId="232DBD83" w14:textId="4F70E341" w:rsidR="00E54474" w:rsidRPr="00FF15F6" w:rsidRDefault="00E54474" w:rsidP="00120EBF">
            <w:pPr>
              <w:ind w:right="-25"/>
              <w:rPr>
                <w:sz w:val="18"/>
              </w:rPr>
            </w:pPr>
            <w:r>
              <w:rPr>
                <w:sz w:val="18"/>
              </w:rPr>
              <w:t>Marco Acuña Mora</w:t>
            </w:r>
          </w:p>
        </w:tc>
        <w:tc>
          <w:tcPr>
            <w:tcW w:w="1037" w:type="dxa"/>
          </w:tcPr>
          <w:p w14:paraId="2CCC11B3" w14:textId="12F0E1FF" w:rsidR="00E54474" w:rsidRPr="00FF15F6" w:rsidRDefault="000D0137" w:rsidP="00120EBF">
            <w:pPr>
              <w:ind w:right="-25"/>
              <w:rPr>
                <w:sz w:val="18"/>
              </w:rPr>
            </w:pPr>
            <w:r>
              <w:rPr>
                <w:sz w:val="18"/>
              </w:rPr>
              <w:t>07</w:t>
            </w:r>
            <w:r w:rsidR="00E54474" w:rsidRPr="00FF15F6">
              <w:rPr>
                <w:sz w:val="18"/>
              </w:rPr>
              <w:t>/09/19</w:t>
            </w:r>
            <w:r>
              <w:rPr>
                <w:sz w:val="18"/>
              </w:rPr>
              <w:t>8</w:t>
            </w:r>
            <w:r w:rsidR="00E54474" w:rsidRPr="00FF15F6">
              <w:rPr>
                <w:sz w:val="18"/>
              </w:rPr>
              <w:t>0</w:t>
            </w:r>
          </w:p>
        </w:tc>
        <w:tc>
          <w:tcPr>
            <w:tcW w:w="1186" w:type="dxa"/>
          </w:tcPr>
          <w:p w14:paraId="2BCFC1F7" w14:textId="0FCC2BD8" w:rsidR="00E54474" w:rsidRPr="00FF15F6" w:rsidRDefault="00E54474" w:rsidP="00120EBF">
            <w:pPr>
              <w:ind w:right="-25"/>
              <w:rPr>
                <w:sz w:val="18"/>
              </w:rPr>
            </w:pPr>
            <w:r w:rsidRPr="00FF15F6">
              <w:rPr>
                <w:sz w:val="18"/>
              </w:rPr>
              <w:t>Apoderad</w:t>
            </w:r>
            <w:r>
              <w:rPr>
                <w:sz w:val="18"/>
              </w:rPr>
              <w:t>o</w:t>
            </w:r>
            <w:r w:rsidRPr="00FF15F6">
              <w:rPr>
                <w:sz w:val="18"/>
              </w:rPr>
              <w:t xml:space="preserve"> Generalísim</w:t>
            </w:r>
            <w:r>
              <w:rPr>
                <w:sz w:val="18"/>
              </w:rPr>
              <w:t>o</w:t>
            </w:r>
          </w:p>
        </w:tc>
        <w:tc>
          <w:tcPr>
            <w:tcW w:w="1266" w:type="dxa"/>
          </w:tcPr>
          <w:p w14:paraId="4B18FEC1" w14:textId="5A8EB577" w:rsidR="00E54474" w:rsidRPr="00FF15F6" w:rsidRDefault="00E54474" w:rsidP="00120EBF">
            <w:pPr>
              <w:ind w:right="-25"/>
              <w:rPr>
                <w:sz w:val="18"/>
              </w:rPr>
            </w:pPr>
          </w:p>
          <w:p w14:paraId="5C50F493" w14:textId="01D34959" w:rsidR="00E54474" w:rsidRPr="00FF15F6" w:rsidRDefault="00E54474" w:rsidP="00120EBF">
            <w:pPr>
              <w:ind w:right="-25"/>
              <w:rPr>
                <w:sz w:val="18"/>
              </w:rPr>
            </w:pPr>
            <w:r w:rsidRPr="00FF15F6">
              <w:rPr>
                <w:sz w:val="18"/>
              </w:rPr>
              <w:t>08/05/20</w:t>
            </w:r>
            <w:r>
              <w:rPr>
                <w:sz w:val="18"/>
              </w:rPr>
              <w:t>22</w:t>
            </w:r>
          </w:p>
        </w:tc>
        <w:tc>
          <w:tcPr>
            <w:tcW w:w="1347" w:type="dxa"/>
          </w:tcPr>
          <w:p w14:paraId="2F2A0C71" w14:textId="77777777" w:rsidR="00E54474" w:rsidRDefault="00E54474" w:rsidP="00120EBF">
            <w:pPr>
              <w:ind w:right="-25"/>
              <w:rPr>
                <w:sz w:val="18"/>
              </w:rPr>
            </w:pPr>
          </w:p>
          <w:p w14:paraId="28C38F0F" w14:textId="63076E94" w:rsidR="00E54474" w:rsidRPr="00FF15F6" w:rsidRDefault="00E54474" w:rsidP="00120EBF">
            <w:pPr>
              <w:ind w:right="-25"/>
              <w:rPr>
                <w:sz w:val="18"/>
              </w:rPr>
            </w:pPr>
            <w:r w:rsidRPr="00FF15F6">
              <w:rPr>
                <w:sz w:val="18"/>
              </w:rPr>
              <w:t>08/05/202</w:t>
            </w:r>
            <w:r>
              <w:rPr>
                <w:sz w:val="18"/>
              </w:rPr>
              <w:t>6</w:t>
            </w:r>
          </w:p>
        </w:tc>
        <w:tc>
          <w:tcPr>
            <w:tcW w:w="851" w:type="dxa"/>
          </w:tcPr>
          <w:p w14:paraId="30F8A698" w14:textId="77777777" w:rsidR="00E54474" w:rsidRDefault="00E54474" w:rsidP="00120EBF">
            <w:pPr>
              <w:ind w:right="-25"/>
              <w:rPr>
                <w:sz w:val="18"/>
              </w:rPr>
            </w:pPr>
          </w:p>
          <w:p w14:paraId="7153FC40" w14:textId="181DE933" w:rsidR="00E54474" w:rsidRPr="00FF15F6" w:rsidRDefault="00E54474" w:rsidP="00120EBF">
            <w:pPr>
              <w:ind w:right="-25"/>
              <w:rPr>
                <w:sz w:val="18"/>
              </w:rPr>
            </w:pPr>
            <w:r>
              <w:rPr>
                <w:sz w:val="18"/>
              </w:rPr>
              <w:t>1 año</w:t>
            </w:r>
          </w:p>
        </w:tc>
        <w:tc>
          <w:tcPr>
            <w:tcW w:w="1036" w:type="dxa"/>
          </w:tcPr>
          <w:p w14:paraId="4C3E5060" w14:textId="637411E5" w:rsidR="00E54474" w:rsidRPr="00FF15F6" w:rsidRDefault="00E54474" w:rsidP="00120EBF">
            <w:pPr>
              <w:ind w:right="-25"/>
              <w:rPr>
                <w:sz w:val="18"/>
              </w:rPr>
            </w:pPr>
            <w:r w:rsidRPr="00FF15F6">
              <w:rPr>
                <w:sz w:val="18"/>
              </w:rPr>
              <w:t>President</w:t>
            </w:r>
            <w:r>
              <w:rPr>
                <w:sz w:val="18"/>
              </w:rPr>
              <w:t>e</w:t>
            </w:r>
            <w:r w:rsidRPr="00FF15F6">
              <w:rPr>
                <w:sz w:val="18"/>
              </w:rPr>
              <w:t xml:space="preserve"> Ejecutiv</w:t>
            </w:r>
            <w:r>
              <w:rPr>
                <w:sz w:val="18"/>
              </w:rPr>
              <w:t>o</w:t>
            </w:r>
          </w:p>
        </w:tc>
        <w:tc>
          <w:tcPr>
            <w:tcW w:w="1046" w:type="dxa"/>
          </w:tcPr>
          <w:p w14:paraId="0D9E3DA8" w14:textId="537327AA" w:rsidR="00E54474" w:rsidRPr="00FF15F6" w:rsidRDefault="00FB3CD2" w:rsidP="00120EBF">
            <w:pPr>
              <w:ind w:right="-25"/>
              <w:rPr>
                <w:sz w:val="18"/>
              </w:rPr>
            </w:pPr>
            <w:r>
              <w:rPr>
                <w:sz w:val="18"/>
              </w:rPr>
              <w:t>1</w:t>
            </w:r>
            <w:r w:rsidR="00E54474" w:rsidRPr="00FF15F6">
              <w:rPr>
                <w:sz w:val="18"/>
              </w:rPr>
              <w:t xml:space="preserve"> años</w:t>
            </w:r>
          </w:p>
        </w:tc>
      </w:tr>
      <w:tr w:rsidR="00E54474" w14:paraId="6CB505E3" w14:textId="77777777" w:rsidTr="008C513D">
        <w:trPr>
          <w:trHeight w:val="261"/>
          <w:jc w:val="center"/>
        </w:trPr>
        <w:tc>
          <w:tcPr>
            <w:tcW w:w="996" w:type="dxa"/>
          </w:tcPr>
          <w:p w14:paraId="7E1DBA6A" w14:textId="4B039430" w:rsidR="00E54474" w:rsidRPr="007D78A7" w:rsidRDefault="00E54474" w:rsidP="00120EBF">
            <w:pPr>
              <w:ind w:right="-25"/>
              <w:rPr>
                <w:sz w:val="18"/>
              </w:rPr>
            </w:pPr>
            <w:r w:rsidRPr="007D78A7">
              <w:rPr>
                <w:sz w:val="18"/>
              </w:rPr>
              <w:t>Luis Francisco Valverde Rímolo</w:t>
            </w:r>
          </w:p>
        </w:tc>
        <w:tc>
          <w:tcPr>
            <w:tcW w:w="1037" w:type="dxa"/>
          </w:tcPr>
          <w:p w14:paraId="558577EE" w14:textId="2F180B2D" w:rsidR="00E54474" w:rsidRPr="007D78A7" w:rsidRDefault="00E54474" w:rsidP="007D78A7">
            <w:pPr>
              <w:ind w:right="-25"/>
              <w:rPr>
                <w:sz w:val="18"/>
              </w:rPr>
            </w:pPr>
            <w:r w:rsidRPr="007D78A7">
              <w:rPr>
                <w:sz w:val="18"/>
              </w:rPr>
              <w:t>04/02/1946</w:t>
            </w:r>
          </w:p>
        </w:tc>
        <w:tc>
          <w:tcPr>
            <w:tcW w:w="1186" w:type="dxa"/>
          </w:tcPr>
          <w:p w14:paraId="7C56D660" w14:textId="77777777" w:rsidR="00E54474" w:rsidRPr="007D78A7" w:rsidRDefault="00E54474" w:rsidP="00120EBF">
            <w:pPr>
              <w:ind w:right="-25"/>
              <w:rPr>
                <w:sz w:val="18"/>
              </w:rPr>
            </w:pPr>
            <w:r w:rsidRPr="007D78A7">
              <w:rPr>
                <w:sz w:val="18"/>
              </w:rPr>
              <w:t>Ninguno</w:t>
            </w:r>
          </w:p>
        </w:tc>
        <w:tc>
          <w:tcPr>
            <w:tcW w:w="1266" w:type="dxa"/>
          </w:tcPr>
          <w:p w14:paraId="2A6B16D0" w14:textId="2384C9EC" w:rsidR="00E54474" w:rsidRPr="00552A56" w:rsidRDefault="00E54474" w:rsidP="007D78A7">
            <w:pPr>
              <w:ind w:right="-25"/>
              <w:rPr>
                <w:sz w:val="18"/>
              </w:rPr>
            </w:pPr>
            <w:r>
              <w:rPr>
                <w:sz w:val="18"/>
              </w:rPr>
              <w:t>01/07/2020</w:t>
            </w:r>
          </w:p>
        </w:tc>
        <w:tc>
          <w:tcPr>
            <w:tcW w:w="1347" w:type="dxa"/>
          </w:tcPr>
          <w:p w14:paraId="6956FFCE" w14:textId="31753BF8" w:rsidR="00E54474" w:rsidRPr="00552A56" w:rsidRDefault="00E54474" w:rsidP="007D78A7">
            <w:pPr>
              <w:ind w:right="-25"/>
              <w:rPr>
                <w:sz w:val="18"/>
              </w:rPr>
            </w:pPr>
            <w:r>
              <w:rPr>
                <w:sz w:val="18"/>
              </w:rPr>
              <w:t>30/06/2026</w:t>
            </w:r>
          </w:p>
        </w:tc>
        <w:tc>
          <w:tcPr>
            <w:tcW w:w="851" w:type="dxa"/>
          </w:tcPr>
          <w:p w14:paraId="49A05E4C" w14:textId="44756EFA" w:rsidR="00E54474" w:rsidRPr="00552A56" w:rsidRDefault="00FB3CD2" w:rsidP="007D78A7">
            <w:pPr>
              <w:ind w:right="-25"/>
              <w:rPr>
                <w:sz w:val="18"/>
              </w:rPr>
            </w:pPr>
            <w:r>
              <w:rPr>
                <w:sz w:val="18"/>
              </w:rPr>
              <w:t>2.5</w:t>
            </w:r>
            <w:r w:rsidR="00E54474">
              <w:rPr>
                <w:sz w:val="18"/>
              </w:rPr>
              <w:t xml:space="preserve"> año</w:t>
            </w:r>
            <w:r>
              <w:rPr>
                <w:sz w:val="18"/>
              </w:rPr>
              <w:t>s</w:t>
            </w:r>
          </w:p>
        </w:tc>
        <w:tc>
          <w:tcPr>
            <w:tcW w:w="1036" w:type="dxa"/>
          </w:tcPr>
          <w:p w14:paraId="631EBAE1" w14:textId="77777777" w:rsidR="00E54474" w:rsidRPr="00552A56" w:rsidRDefault="00E54474" w:rsidP="00120EBF">
            <w:pPr>
              <w:ind w:right="-25"/>
              <w:rPr>
                <w:sz w:val="18"/>
              </w:rPr>
            </w:pPr>
            <w:r>
              <w:rPr>
                <w:sz w:val="18"/>
              </w:rPr>
              <w:t>Director Consejo Directivo</w:t>
            </w:r>
          </w:p>
        </w:tc>
        <w:tc>
          <w:tcPr>
            <w:tcW w:w="1046" w:type="dxa"/>
          </w:tcPr>
          <w:p w14:paraId="2CF42514" w14:textId="65E6118B" w:rsidR="00E54474" w:rsidRPr="00552A56" w:rsidRDefault="00E54474" w:rsidP="007D78A7">
            <w:pPr>
              <w:ind w:right="-25"/>
              <w:rPr>
                <w:sz w:val="18"/>
              </w:rPr>
            </w:pPr>
            <w:r>
              <w:rPr>
                <w:sz w:val="18"/>
              </w:rPr>
              <w:t>2</w:t>
            </w:r>
            <w:r w:rsidR="00FB3CD2">
              <w:rPr>
                <w:sz w:val="18"/>
              </w:rPr>
              <w:t>.5</w:t>
            </w:r>
            <w:r>
              <w:rPr>
                <w:sz w:val="18"/>
              </w:rPr>
              <w:t xml:space="preserve"> años</w:t>
            </w:r>
          </w:p>
        </w:tc>
      </w:tr>
      <w:tr w:rsidR="00E54474" w14:paraId="6AD64856" w14:textId="77777777" w:rsidTr="008C513D">
        <w:trPr>
          <w:trHeight w:val="261"/>
          <w:jc w:val="center"/>
        </w:trPr>
        <w:tc>
          <w:tcPr>
            <w:tcW w:w="996" w:type="dxa"/>
          </w:tcPr>
          <w:p w14:paraId="77AFD18B" w14:textId="07E05C9E" w:rsidR="00E54474" w:rsidRPr="007D78A7" w:rsidRDefault="00E54474" w:rsidP="00120EBF">
            <w:pPr>
              <w:ind w:right="-25"/>
              <w:rPr>
                <w:sz w:val="18"/>
              </w:rPr>
            </w:pPr>
            <w:r>
              <w:rPr>
                <w:sz w:val="18"/>
              </w:rPr>
              <w:t>Marlon Arguedas Guzmán</w:t>
            </w:r>
          </w:p>
        </w:tc>
        <w:tc>
          <w:tcPr>
            <w:tcW w:w="1037" w:type="dxa"/>
          </w:tcPr>
          <w:p w14:paraId="2F06B9E8" w14:textId="7EB4C18F" w:rsidR="00E54474" w:rsidRPr="007D78A7" w:rsidRDefault="00B26D33" w:rsidP="00120EBF">
            <w:pPr>
              <w:ind w:right="-25"/>
              <w:rPr>
                <w:sz w:val="18"/>
              </w:rPr>
            </w:pPr>
            <w:r>
              <w:rPr>
                <w:sz w:val="18"/>
              </w:rPr>
              <w:t>23</w:t>
            </w:r>
            <w:r w:rsidR="00E54474" w:rsidRPr="007D78A7">
              <w:rPr>
                <w:sz w:val="18"/>
              </w:rPr>
              <w:t>/0</w:t>
            </w:r>
            <w:r>
              <w:rPr>
                <w:sz w:val="18"/>
              </w:rPr>
              <w:t>4</w:t>
            </w:r>
            <w:r w:rsidR="00E54474" w:rsidRPr="007D78A7">
              <w:rPr>
                <w:sz w:val="18"/>
              </w:rPr>
              <w:t>/19</w:t>
            </w:r>
            <w:r>
              <w:rPr>
                <w:sz w:val="18"/>
              </w:rPr>
              <w:t>85</w:t>
            </w:r>
          </w:p>
        </w:tc>
        <w:tc>
          <w:tcPr>
            <w:tcW w:w="1186" w:type="dxa"/>
          </w:tcPr>
          <w:p w14:paraId="3016CF3A" w14:textId="77777777" w:rsidR="00E54474" w:rsidRPr="007D78A7" w:rsidRDefault="00E54474" w:rsidP="00120EBF">
            <w:pPr>
              <w:ind w:right="-25"/>
              <w:rPr>
                <w:sz w:val="18"/>
              </w:rPr>
            </w:pPr>
            <w:r w:rsidRPr="007D78A7">
              <w:rPr>
                <w:sz w:val="18"/>
              </w:rPr>
              <w:t>Ninguno</w:t>
            </w:r>
          </w:p>
        </w:tc>
        <w:tc>
          <w:tcPr>
            <w:tcW w:w="1266" w:type="dxa"/>
          </w:tcPr>
          <w:p w14:paraId="7618A4A8" w14:textId="0FB13887" w:rsidR="00E54474" w:rsidRPr="00552A56" w:rsidRDefault="00FC457D" w:rsidP="00207660">
            <w:pPr>
              <w:ind w:right="-25"/>
              <w:rPr>
                <w:sz w:val="18"/>
              </w:rPr>
            </w:pPr>
            <w:r>
              <w:rPr>
                <w:sz w:val="18"/>
              </w:rPr>
              <w:t>16</w:t>
            </w:r>
            <w:r w:rsidR="00E54474">
              <w:rPr>
                <w:sz w:val="18"/>
              </w:rPr>
              <w:t>/</w:t>
            </w:r>
            <w:r>
              <w:rPr>
                <w:sz w:val="18"/>
              </w:rPr>
              <w:t>11</w:t>
            </w:r>
            <w:r w:rsidR="00E54474">
              <w:rPr>
                <w:sz w:val="18"/>
              </w:rPr>
              <w:t>/20</w:t>
            </w:r>
            <w:r>
              <w:rPr>
                <w:sz w:val="18"/>
              </w:rPr>
              <w:t>22</w:t>
            </w:r>
          </w:p>
        </w:tc>
        <w:tc>
          <w:tcPr>
            <w:tcW w:w="1347" w:type="dxa"/>
          </w:tcPr>
          <w:p w14:paraId="2A71B0E7" w14:textId="4EC271AF" w:rsidR="00E54474" w:rsidRPr="00552A56" w:rsidRDefault="00E54474" w:rsidP="00120EBF">
            <w:pPr>
              <w:ind w:right="-25"/>
              <w:rPr>
                <w:sz w:val="18"/>
              </w:rPr>
            </w:pPr>
            <w:r>
              <w:rPr>
                <w:sz w:val="18"/>
              </w:rPr>
              <w:t>30/06/202</w:t>
            </w:r>
            <w:r w:rsidR="00FC457D">
              <w:rPr>
                <w:sz w:val="18"/>
              </w:rPr>
              <w:t>3</w:t>
            </w:r>
          </w:p>
        </w:tc>
        <w:tc>
          <w:tcPr>
            <w:tcW w:w="851" w:type="dxa"/>
          </w:tcPr>
          <w:p w14:paraId="669C48BC" w14:textId="622A64D0" w:rsidR="00E54474" w:rsidRPr="00552A56" w:rsidRDefault="000904F0" w:rsidP="00120EBF">
            <w:pPr>
              <w:ind w:right="-25"/>
              <w:rPr>
                <w:sz w:val="18"/>
              </w:rPr>
            </w:pPr>
            <w:r>
              <w:rPr>
                <w:sz w:val="18"/>
              </w:rPr>
              <w:t>6 meses</w:t>
            </w:r>
          </w:p>
        </w:tc>
        <w:tc>
          <w:tcPr>
            <w:tcW w:w="1036" w:type="dxa"/>
          </w:tcPr>
          <w:p w14:paraId="3D1AFF76" w14:textId="6B0D859B" w:rsidR="00E54474" w:rsidRPr="00552A56" w:rsidRDefault="00E54474" w:rsidP="00120EBF">
            <w:pPr>
              <w:ind w:right="-25"/>
              <w:rPr>
                <w:sz w:val="18"/>
              </w:rPr>
            </w:pPr>
            <w:r>
              <w:rPr>
                <w:sz w:val="18"/>
              </w:rPr>
              <w:t>Director Consejo Directivo</w:t>
            </w:r>
          </w:p>
        </w:tc>
        <w:tc>
          <w:tcPr>
            <w:tcW w:w="1046" w:type="dxa"/>
          </w:tcPr>
          <w:p w14:paraId="4FC71E71" w14:textId="744E298B" w:rsidR="00E54474" w:rsidRPr="00552A56" w:rsidRDefault="000904F0" w:rsidP="00176B38">
            <w:pPr>
              <w:ind w:right="-25"/>
              <w:rPr>
                <w:sz w:val="18"/>
              </w:rPr>
            </w:pPr>
            <w:r>
              <w:rPr>
                <w:sz w:val="18"/>
              </w:rPr>
              <w:t>6 meses</w:t>
            </w:r>
          </w:p>
        </w:tc>
      </w:tr>
      <w:tr w:rsidR="00C97897" w14:paraId="51E60F74" w14:textId="77777777" w:rsidTr="008C513D">
        <w:trPr>
          <w:trHeight w:val="261"/>
          <w:jc w:val="center"/>
        </w:trPr>
        <w:tc>
          <w:tcPr>
            <w:tcW w:w="996" w:type="dxa"/>
          </w:tcPr>
          <w:p w14:paraId="39A20A3F" w14:textId="6D5272F7" w:rsidR="00C97897" w:rsidRPr="007D78A7" w:rsidRDefault="00C97897" w:rsidP="00C97897">
            <w:pPr>
              <w:ind w:right="-25"/>
              <w:rPr>
                <w:sz w:val="18"/>
              </w:rPr>
            </w:pPr>
            <w:r>
              <w:rPr>
                <w:sz w:val="18"/>
              </w:rPr>
              <w:t>Henry Gabriel Guevara Guevara</w:t>
            </w:r>
          </w:p>
        </w:tc>
        <w:tc>
          <w:tcPr>
            <w:tcW w:w="1037" w:type="dxa"/>
          </w:tcPr>
          <w:p w14:paraId="186FE83C" w14:textId="4EAF7BB0" w:rsidR="00C97897" w:rsidRDefault="00C97897" w:rsidP="00C97897">
            <w:pPr>
              <w:ind w:right="-25"/>
              <w:rPr>
                <w:sz w:val="18"/>
              </w:rPr>
            </w:pPr>
            <w:r>
              <w:rPr>
                <w:sz w:val="18"/>
              </w:rPr>
              <w:t>02/07/1967</w:t>
            </w:r>
          </w:p>
        </w:tc>
        <w:tc>
          <w:tcPr>
            <w:tcW w:w="1186" w:type="dxa"/>
          </w:tcPr>
          <w:p w14:paraId="182CF501" w14:textId="77777777" w:rsidR="00C97897" w:rsidRPr="00552A56" w:rsidRDefault="00C97897" w:rsidP="00C97897">
            <w:pPr>
              <w:ind w:right="-25"/>
              <w:rPr>
                <w:sz w:val="18"/>
              </w:rPr>
            </w:pPr>
            <w:r>
              <w:rPr>
                <w:sz w:val="18"/>
              </w:rPr>
              <w:t>Ninguno</w:t>
            </w:r>
          </w:p>
        </w:tc>
        <w:tc>
          <w:tcPr>
            <w:tcW w:w="1266" w:type="dxa"/>
          </w:tcPr>
          <w:p w14:paraId="0FBFEB7A" w14:textId="711EBEFD" w:rsidR="00C97897" w:rsidRPr="00552A56" w:rsidRDefault="00C97897" w:rsidP="00C97897">
            <w:pPr>
              <w:ind w:right="-25"/>
              <w:rPr>
                <w:sz w:val="18"/>
              </w:rPr>
            </w:pPr>
            <w:r>
              <w:rPr>
                <w:sz w:val="18"/>
              </w:rPr>
              <w:t>16/11/2022</w:t>
            </w:r>
          </w:p>
        </w:tc>
        <w:tc>
          <w:tcPr>
            <w:tcW w:w="1347" w:type="dxa"/>
          </w:tcPr>
          <w:p w14:paraId="50B95F11" w14:textId="34CCFC95" w:rsidR="00C97897" w:rsidRPr="00552A56" w:rsidRDefault="00C97897" w:rsidP="00C97897">
            <w:pPr>
              <w:ind w:right="-25"/>
              <w:rPr>
                <w:sz w:val="18"/>
              </w:rPr>
            </w:pPr>
            <w:r>
              <w:rPr>
                <w:sz w:val="18"/>
              </w:rPr>
              <w:t>30/06/2024</w:t>
            </w:r>
          </w:p>
        </w:tc>
        <w:tc>
          <w:tcPr>
            <w:tcW w:w="851" w:type="dxa"/>
          </w:tcPr>
          <w:p w14:paraId="7280EE68" w14:textId="629E1917" w:rsidR="00C97897" w:rsidRPr="00552A56" w:rsidRDefault="00C97897" w:rsidP="00C97897">
            <w:pPr>
              <w:ind w:right="-25"/>
              <w:rPr>
                <w:sz w:val="18"/>
              </w:rPr>
            </w:pPr>
            <w:r>
              <w:rPr>
                <w:sz w:val="18"/>
              </w:rPr>
              <w:t>6 meses</w:t>
            </w:r>
          </w:p>
        </w:tc>
        <w:tc>
          <w:tcPr>
            <w:tcW w:w="1036" w:type="dxa"/>
          </w:tcPr>
          <w:p w14:paraId="5ADD3D4A" w14:textId="77777777" w:rsidR="00C97897" w:rsidRPr="00552A56" w:rsidRDefault="00C97897" w:rsidP="00C97897">
            <w:pPr>
              <w:ind w:right="-25"/>
              <w:rPr>
                <w:sz w:val="18"/>
              </w:rPr>
            </w:pPr>
            <w:r>
              <w:rPr>
                <w:sz w:val="18"/>
              </w:rPr>
              <w:t>Director Consejo Directivo</w:t>
            </w:r>
          </w:p>
        </w:tc>
        <w:tc>
          <w:tcPr>
            <w:tcW w:w="1046" w:type="dxa"/>
          </w:tcPr>
          <w:p w14:paraId="74853704" w14:textId="4951F899" w:rsidR="00C97897" w:rsidRPr="00552A56" w:rsidRDefault="00C97897" w:rsidP="00C97897">
            <w:pPr>
              <w:ind w:right="-25"/>
              <w:rPr>
                <w:sz w:val="18"/>
              </w:rPr>
            </w:pPr>
            <w:r>
              <w:rPr>
                <w:sz w:val="18"/>
              </w:rPr>
              <w:t>6 meses</w:t>
            </w:r>
          </w:p>
        </w:tc>
      </w:tr>
      <w:tr w:rsidR="00C97897" w14:paraId="3F8A0F22" w14:textId="77777777" w:rsidTr="008C513D">
        <w:trPr>
          <w:trHeight w:val="261"/>
          <w:jc w:val="center"/>
        </w:trPr>
        <w:tc>
          <w:tcPr>
            <w:tcW w:w="996" w:type="dxa"/>
          </w:tcPr>
          <w:p w14:paraId="01EBA35F" w14:textId="3923A35F" w:rsidR="00C97897" w:rsidRPr="007D78A7" w:rsidRDefault="00C97897" w:rsidP="00C97897">
            <w:pPr>
              <w:ind w:right="-25"/>
              <w:rPr>
                <w:sz w:val="18"/>
              </w:rPr>
            </w:pPr>
            <w:r>
              <w:rPr>
                <w:sz w:val="18"/>
              </w:rPr>
              <w:t>Ileana María Murillo Masís</w:t>
            </w:r>
          </w:p>
        </w:tc>
        <w:tc>
          <w:tcPr>
            <w:tcW w:w="1037" w:type="dxa"/>
          </w:tcPr>
          <w:p w14:paraId="47E718E7" w14:textId="085CD8B8" w:rsidR="00C97897" w:rsidRPr="00552A56" w:rsidRDefault="00C97897" w:rsidP="00C97897">
            <w:pPr>
              <w:ind w:right="-25"/>
              <w:rPr>
                <w:sz w:val="18"/>
              </w:rPr>
            </w:pPr>
            <w:r>
              <w:rPr>
                <w:sz w:val="18"/>
              </w:rPr>
              <w:t>19/01/1966</w:t>
            </w:r>
          </w:p>
        </w:tc>
        <w:tc>
          <w:tcPr>
            <w:tcW w:w="1186" w:type="dxa"/>
          </w:tcPr>
          <w:p w14:paraId="07B321E7" w14:textId="77777777" w:rsidR="00C97897" w:rsidRPr="00552A56" w:rsidRDefault="00C97897" w:rsidP="00C97897">
            <w:pPr>
              <w:ind w:right="-25"/>
              <w:rPr>
                <w:sz w:val="18"/>
              </w:rPr>
            </w:pPr>
            <w:r>
              <w:rPr>
                <w:sz w:val="18"/>
              </w:rPr>
              <w:t>Ninguno</w:t>
            </w:r>
          </w:p>
        </w:tc>
        <w:tc>
          <w:tcPr>
            <w:tcW w:w="1266" w:type="dxa"/>
          </w:tcPr>
          <w:p w14:paraId="7E284613" w14:textId="7E0D2F0B" w:rsidR="00C97897" w:rsidRPr="00552A56" w:rsidRDefault="00180C6D" w:rsidP="00C97897">
            <w:pPr>
              <w:ind w:right="-25"/>
              <w:rPr>
                <w:sz w:val="18"/>
              </w:rPr>
            </w:pPr>
            <w:r>
              <w:rPr>
                <w:sz w:val="18"/>
              </w:rPr>
              <w:t>16/11/2022</w:t>
            </w:r>
          </w:p>
        </w:tc>
        <w:tc>
          <w:tcPr>
            <w:tcW w:w="1347" w:type="dxa"/>
          </w:tcPr>
          <w:p w14:paraId="6A1538B7" w14:textId="11D784BB" w:rsidR="00C97897" w:rsidRPr="00552A56" w:rsidRDefault="00C97897" w:rsidP="00C97897">
            <w:pPr>
              <w:ind w:right="-25"/>
              <w:rPr>
                <w:sz w:val="18"/>
              </w:rPr>
            </w:pPr>
            <w:r>
              <w:rPr>
                <w:sz w:val="18"/>
              </w:rPr>
              <w:t>30/06/202</w:t>
            </w:r>
            <w:r w:rsidR="00180C6D">
              <w:rPr>
                <w:sz w:val="18"/>
              </w:rPr>
              <w:t>5</w:t>
            </w:r>
          </w:p>
        </w:tc>
        <w:tc>
          <w:tcPr>
            <w:tcW w:w="851" w:type="dxa"/>
          </w:tcPr>
          <w:p w14:paraId="4B2DC163" w14:textId="3181A182" w:rsidR="00C97897" w:rsidRPr="00552A56" w:rsidRDefault="00180C6D" w:rsidP="00C97897">
            <w:pPr>
              <w:ind w:right="-25"/>
              <w:rPr>
                <w:sz w:val="18"/>
              </w:rPr>
            </w:pPr>
            <w:r>
              <w:rPr>
                <w:sz w:val="18"/>
              </w:rPr>
              <w:t>6</w:t>
            </w:r>
            <w:r w:rsidR="00C97897">
              <w:rPr>
                <w:sz w:val="18"/>
              </w:rPr>
              <w:t xml:space="preserve"> meses</w:t>
            </w:r>
          </w:p>
        </w:tc>
        <w:tc>
          <w:tcPr>
            <w:tcW w:w="1036" w:type="dxa"/>
          </w:tcPr>
          <w:p w14:paraId="5C6FFA16" w14:textId="77777777" w:rsidR="00C97897" w:rsidRPr="00552A56" w:rsidRDefault="00C97897" w:rsidP="00C97897">
            <w:pPr>
              <w:ind w:right="-25"/>
              <w:rPr>
                <w:sz w:val="18"/>
              </w:rPr>
            </w:pPr>
            <w:r>
              <w:rPr>
                <w:sz w:val="18"/>
              </w:rPr>
              <w:t>Directora Consejo Directivo</w:t>
            </w:r>
          </w:p>
        </w:tc>
        <w:tc>
          <w:tcPr>
            <w:tcW w:w="1046" w:type="dxa"/>
          </w:tcPr>
          <w:p w14:paraId="4EDA0219" w14:textId="71991495" w:rsidR="00C97897" w:rsidRPr="00552A56" w:rsidRDefault="00180C6D" w:rsidP="00C97897">
            <w:pPr>
              <w:ind w:right="-25"/>
              <w:rPr>
                <w:sz w:val="18"/>
              </w:rPr>
            </w:pPr>
            <w:r>
              <w:rPr>
                <w:sz w:val="18"/>
              </w:rPr>
              <w:t>6 meses</w:t>
            </w:r>
          </w:p>
        </w:tc>
      </w:tr>
      <w:tr w:rsidR="00C97897" w14:paraId="540BA0FD" w14:textId="77777777" w:rsidTr="008C513D">
        <w:trPr>
          <w:trHeight w:val="261"/>
          <w:jc w:val="center"/>
        </w:trPr>
        <w:tc>
          <w:tcPr>
            <w:tcW w:w="996" w:type="dxa"/>
          </w:tcPr>
          <w:p w14:paraId="2E73668A" w14:textId="5ECB0C99" w:rsidR="00C97897" w:rsidRPr="007D78A7" w:rsidRDefault="00C97897" w:rsidP="00C97897">
            <w:pPr>
              <w:ind w:right="-25"/>
              <w:rPr>
                <w:sz w:val="18"/>
              </w:rPr>
            </w:pPr>
            <w:r>
              <w:rPr>
                <w:sz w:val="18"/>
              </w:rPr>
              <w:t>Diana Priscila Valverde Bermúdez</w:t>
            </w:r>
          </w:p>
        </w:tc>
        <w:tc>
          <w:tcPr>
            <w:tcW w:w="1037" w:type="dxa"/>
          </w:tcPr>
          <w:p w14:paraId="1C319826" w14:textId="77F53B29" w:rsidR="00C97897" w:rsidRPr="00552A56" w:rsidRDefault="00C97897" w:rsidP="00C97897">
            <w:pPr>
              <w:ind w:right="-25"/>
              <w:rPr>
                <w:sz w:val="18"/>
              </w:rPr>
            </w:pPr>
            <w:r>
              <w:rPr>
                <w:sz w:val="18"/>
              </w:rPr>
              <w:t>26/06/1984</w:t>
            </w:r>
          </w:p>
        </w:tc>
        <w:tc>
          <w:tcPr>
            <w:tcW w:w="1186" w:type="dxa"/>
          </w:tcPr>
          <w:p w14:paraId="35A69F61" w14:textId="77777777" w:rsidR="00C97897" w:rsidRPr="00552A56" w:rsidRDefault="00C97897" w:rsidP="00C97897">
            <w:pPr>
              <w:ind w:right="-25"/>
              <w:rPr>
                <w:sz w:val="18"/>
              </w:rPr>
            </w:pPr>
            <w:r>
              <w:rPr>
                <w:sz w:val="18"/>
              </w:rPr>
              <w:t>Ninguno</w:t>
            </w:r>
          </w:p>
        </w:tc>
        <w:tc>
          <w:tcPr>
            <w:tcW w:w="1266" w:type="dxa"/>
          </w:tcPr>
          <w:p w14:paraId="543D2135" w14:textId="665762CA" w:rsidR="00C97897" w:rsidRPr="00552A56" w:rsidRDefault="00F95967" w:rsidP="00C97897">
            <w:pPr>
              <w:ind w:right="-25"/>
              <w:rPr>
                <w:sz w:val="18"/>
              </w:rPr>
            </w:pPr>
            <w:r>
              <w:rPr>
                <w:sz w:val="18"/>
              </w:rPr>
              <w:t>16/11/2022</w:t>
            </w:r>
          </w:p>
        </w:tc>
        <w:tc>
          <w:tcPr>
            <w:tcW w:w="1347" w:type="dxa"/>
          </w:tcPr>
          <w:p w14:paraId="482FC758" w14:textId="37923507" w:rsidR="00C97897" w:rsidRPr="00552A56" w:rsidRDefault="00C97897" w:rsidP="00C97897">
            <w:pPr>
              <w:ind w:right="-25"/>
              <w:rPr>
                <w:sz w:val="18"/>
              </w:rPr>
            </w:pPr>
            <w:r>
              <w:rPr>
                <w:sz w:val="18"/>
              </w:rPr>
              <w:t>30/06/202</w:t>
            </w:r>
            <w:r w:rsidR="00F95967">
              <w:rPr>
                <w:sz w:val="18"/>
              </w:rPr>
              <w:t>7</w:t>
            </w:r>
          </w:p>
        </w:tc>
        <w:tc>
          <w:tcPr>
            <w:tcW w:w="851" w:type="dxa"/>
          </w:tcPr>
          <w:p w14:paraId="6BFF53AE" w14:textId="4C66FB62" w:rsidR="00C97897" w:rsidRPr="00552A56" w:rsidRDefault="00F95967" w:rsidP="00C97897">
            <w:pPr>
              <w:ind w:right="-25"/>
              <w:rPr>
                <w:sz w:val="18"/>
              </w:rPr>
            </w:pPr>
            <w:r>
              <w:rPr>
                <w:sz w:val="18"/>
              </w:rPr>
              <w:t>6</w:t>
            </w:r>
            <w:r w:rsidR="00C97897">
              <w:rPr>
                <w:sz w:val="18"/>
              </w:rPr>
              <w:t xml:space="preserve"> meses</w:t>
            </w:r>
          </w:p>
        </w:tc>
        <w:tc>
          <w:tcPr>
            <w:tcW w:w="1036" w:type="dxa"/>
          </w:tcPr>
          <w:p w14:paraId="7E3BC21D" w14:textId="77777777" w:rsidR="00C97897" w:rsidRPr="00552A56" w:rsidRDefault="00C97897" w:rsidP="00C97897">
            <w:pPr>
              <w:ind w:right="-25"/>
              <w:rPr>
                <w:sz w:val="18"/>
              </w:rPr>
            </w:pPr>
            <w:r>
              <w:rPr>
                <w:sz w:val="18"/>
              </w:rPr>
              <w:t>Directora Consejo Directivo</w:t>
            </w:r>
          </w:p>
        </w:tc>
        <w:tc>
          <w:tcPr>
            <w:tcW w:w="1046" w:type="dxa"/>
          </w:tcPr>
          <w:p w14:paraId="5592C879" w14:textId="2A9CF8E5" w:rsidR="00C97897" w:rsidRPr="00552A56" w:rsidRDefault="00F95967" w:rsidP="00C97897">
            <w:pPr>
              <w:ind w:right="-25"/>
              <w:rPr>
                <w:sz w:val="18"/>
              </w:rPr>
            </w:pPr>
            <w:r>
              <w:rPr>
                <w:sz w:val="18"/>
              </w:rPr>
              <w:t>6 meses</w:t>
            </w:r>
          </w:p>
        </w:tc>
      </w:tr>
      <w:tr w:rsidR="008C513D" w14:paraId="25210DFB" w14:textId="77777777" w:rsidTr="008C513D">
        <w:trPr>
          <w:trHeight w:val="261"/>
          <w:jc w:val="center"/>
        </w:trPr>
        <w:tc>
          <w:tcPr>
            <w:tcW w:w="996" w:type="dxa"/>
          </w:tcPr>
          <w:p w14:paraId="5D2BE971" w14:textId="074896D7" w:rsidR="008C513D" w:rsidRPr="007D78A7" w:rsidRDefault="008C513D" w:rsidP="008C513D">
            <w:pPr>
              <w:ind w:right="-25"/>
              <w:rPr>
                <w:sz w:val="18"/>
              </w:rPr>
            </w:pPr>
            <w:r>
              <w:rPr>
                <w:sz w:val="18"/>
              </w:rPr>
              <w:t>Irene Víquez Barrantes</w:t>
            </w:r>
          </w:p>
        </w:tc>
        <w:tc>
          <w:tcPr>
            <w:tcW w:w="1037" w:type="dxa"/>
          </w:tcPr>
          <w:p w14:paraId="78A78497" w14:textId="7D316196" w:rsidR="008C513D" w:rsidRPr="00552A56" w:rsidRDefault="008C513D" w:rsidP="008C513D">
            <w:pPr>
              <w:ind w:right="-25"/>
              <w:rPr>
                <w:sz w:val="18"/>
              </w:rPr>
            </w:pPr>
            <w:r>
              <w:rPr>
                <w:sz w:val="18"/>
              </w:rPr>
              <w:t>28/06/1984</w:t>
            </w:r>
          </w:p>
        </w:tc>
        <w:tc>
          <w:tcPr>
            <w:tcW w:w="1186" w:type="dxa"/>
          </w:tcPr>
          <w:p w14:paraId="4D968E50" w14:textId="77777777" w:rsidR="008C513D" w:rsidRPr="00552A56" w:rsidRDefault="008C513D" w:rsidP="008C513D">
            <w:pPr>
              <w:ind w:right="-25"/>
              <w:rPr>
                <w:sz w:val="18"/>
              </w:rPr>
            </w:pPr>
            <w:r>
              <w:rPr>
                <w:sz w:val="18"/>
              </w:rPr>
              <w:t>Ninguno</w:t>
            </w:r>
            <w:r w:rsidRPr="00552A56">
              <w:rPr>
                <w:sz w:val="18"/>
              </w:rPr>
              <w:t xml:space="preserve"> </w:t>
            </w:r>
          </w:p>
        </w:tc>
        <w:tc>
          <w:tcPr>
            <w:tcW w:w="1266" w:type="dxa"/>
          </w:tcPr>
          <w:p w14:paraId="23DE7DD6" w14:textId="66953CE5" w:rsidR="008C513D" w:rsidRPr="00552A56" w:rsidRDefault="008C513D" w:rsidP="008C513D">
            <w:pPr>
              <w:ind w:right="-25"/>
              <w:rPr>
                <w:sz w:val="18"/>
              </w:rPr>
            </w:pPr>
            <w:r>
              <w:rPr>
                <w:sz w:val="18"/>
              </w:rPr>
              <w:t>06/07/2022</w:t>
            </w:r>
          </w:p>
        </w:tc>
        <w:tc>
          <w:tcPr>
            <w:tcW w:w="1347" w:type="dxa"/>
          </w:tcPr>
          <w:p w14:paraId="298E4E5D" w14:textId="34EAA341" w:rsidR="008C513D" w:rsidRPr="00552A56" w:rsidRDefault="008C513D" w:rsidP="008C513D">
            <w:pPr>
              <w:ind w:right="-25"/>
              <w:rPr>
                <w:sz w:val="18"/>
              </w:rPr>
            </w:pPr>
            <w:r>
              <w:rPr>
                <w:sz w:val="18"/>
              </w:rPr>
              <w:t>05/07/2028</w:t>
            </w:r>
          </w:p>
        </w:tc>
        <w:tc>
          <w:tcPr>
            <w:tcW w:w="851" w:type="dxa"/>
          </w:tcPr>
          <w:p w14:paraId="53611489" w14:textId="1008A452" w:rsidR="008C513D" w:rsidRPr="00552A56" w:rsidRDefault="008C513D" w:rsidP="008C513D">
            <w:pPr>
              <w:ind w:right="-25"/>
              <w:rPr>
                <w:sz w:val="18"/>
              </w:rPr>
            </w:pPr>
            <w:r>
              <w:rPr>
                <w:sz w:val="18"/>
              </w:rPr>
              <w:t>10 meses</w:t>
            </w:r>
          </w:p>
        </w:tc>
        <w:tc>
          <w:tcPr>
            <w:tcW w:w="1036" w:type="dxa"/>
          </w:tcPr>
          <w:p w14:paraId="791A49AD" w14:textId="0BE8DEDC" w:rsidR="008C513D" w:rsidRPr="00552A56" w:rsidRDefault="008C513D" w:rsidP="008C513D">
            <w:pPr>
              <w:ind w:right="-25"/>
              <w:rPr>
                <w:sz w:val="18"/>
              </w:rPr>
            </w:pPr>
            <w:r>
              <w:rPr>
                <w:sz w:val="18"/>
              </w:rPr>
              <w:t>Directora Consejo Directivo</w:t>
            </w:r>
          </w:p>
        </w:tc>
        <w:tc>
          <w:tcPr>
            <w:tcW w:w="1046" w:type="dxa"/>
          </w:tcPr>
          <w:p w14:paraId="00897BB8" w14:textId="0ACA3C57" w:rsidR="008C513D" w:rsidRPr="00552A56" w:rsidRDefault="008C513D" w:rsidP="008C513D">
            <w:pPr>
              <w:ind w:right="-25"/>
              <w:rPr>
                <w:sz w:val="18"/>
              </w:rPr>
            </w:pPr>
            <w:r>
              <w:rPr>
                <w:sz w:val="18"/>
              </w:rPr>
              <w:t>10 meses</w:t>
            </w:r>
          </w:p>
        </w:tc>
      </w:tr>
    </w:tbl>
    <w:p w14:paraId="4261B4EA" w14:textId="77777777" w:rsidR="00A65F5F" w:rsidRPr="00C44301" w:rsidRDefault="00A65F5F" w:rsidP="00A65F5F">
      <w:pPr>
        <w:pStyle w:val="Ttulo3"/>
        <w:ind w:left="-567"/>
      </w:pPr>
      <w:bookmarkStart w:id="3203" w:name="_Toc304737243"/>
      <w:bookmarkStart w:id="3204" w:name="_Toc343676080"/>
      <w:bookmarkStart w:id="3205" w:name="_Toc358619443"/>
      <w:bookmarkStart w:id="3206" w:name="_Toc358620708"/>
      <w:bookmarkStart w:id="3207" w:name="_Toc358621915"/>
      <w:bookmarkStart w:id="3208" w:name="_Toc358622892"/>
      <w:bookmarkStart w:id="3209" w:name="_Toc26357177"/>
      <w:bookmarkStart w:id="3210" w:name="_Toc138664965"/>
      <w:r>
        <w:t xml:space="preserve">6.1.2 </w:t>
      </w:r>
      <w:r w:rsidRPr="00C44301">
        <w:t>Funciones de los miembros de la Junta Directiva</w:t>
      </w:r>
      <w:bookmarkEnd w:id="3203"/>
      <w:bookmarkEnd w:id="3204"/>
      <w:bookmarkEnd w:id="3205"/>
      <w:bookmarkEnd w:id="3206"/>
      <w:bookmarkEnd w:id="3207"/>
      <w:bookmarkEnd w:id="3208"/>
      <w:bookmarkEnd w:id="3209"/>
      <w:bookmarkEnd w:id="3210"/>
    </w:p>
    <w:p w14:paraId="396648EE" w14:textId="77777777" w:rsidR="00A65F5F" w:rsidRPr="00670E95" w:rsidRDefault="00A65F5F" w:rsidP="00A65F5F">
      <w:pPr>
        <w:ind w:left="-540" w:right="-25"/>
      </w:pPr>
    </w:p>
    <w:p w14:paraId="240896B9" w14:textId="77777777" w:rsidR="00A65F5F" w:rsidRDefault="00A65F5F" w:rsidP="00A65F5F">
      <w:pPr>
        <w:pStyle w:val="Prrafodelista"/>
        <w:ind w:left="-567" w:right="-25"/>
      </w:pPr>
      <w:r>
        <w:t xml:space="preserve">Los deberes y atribuciones del </w:t>
      </w:r>
      <w:r w:rsidRPr="002201B1">
        <w:t xml:space="preserve">Consejo Directivo </w:t>
      </w:r>
      <w:r>
        <w:t>se detallan a continuación:</w:t>
      </w:r>
    </w:p>
    <w:p w14:paraId="788AFCE3" w14:textId="77777777" w:rsidR="00A65F5F" w:rsidRDefault="00A65F5F" w:rsidP="00A65F5F">
      <w:pPr>
        <w:pStyle w:val="Prrafodelista"/>
        <w:ind w:left="-567" w:right="-25"/>
      </w:pPr>
    </w:p>
    <w:p w14:paraId="07148DD3" w14:textId="77777777" w:rsidR="00A65F5F" w:rsidRDefault="00A65F5F" w:rsidP="00A65F5F">
      <w:pPr>
        <w:pStyle w:val="Prrafodelista"/>
        <w:ind w:left="-567" w:right="-25"/>
        <w:rPr>
          <w:b/>
        </w:rPr>
      </w:pPr>
      <w:r w:rsidRPr="007604E1">
        <w:rPr>
          <w:b/>
        </w:rPr>
        <w:t>Deberes:</w:t>
      </w:r>
    </w:p>
    <w:p w14:paraId="3A9186C8" w14:textId="77777777" w:rsidR="00A65F5F" w:rsidRPr="007604E1" w:rsidRDefault="00A65F5F" w:rsidP="00A65F5F">
      <w:pPr>
        <w:pStyle w:val="Prrafodelista"/>
        <w:ind w:left="-567" w:right="-25"/>
        <w:rPr>
          <w:b/>
        </w:rPr>
      </w:pPr>
    </w:p>
    <w:p w14:paraId="7BEC8A28" w14:textId="77777777" w:rsidR="00A65F5F" w:rsidRDefault="00A65F5F" w:rsidP="00A65F5F">
      <w:pPr>
        <w:pStyle w:val="Prrafodelista"/>
        <w:numPr>
          <w:ilvl w:val="0"/>
          <w:numId w:val="14"/>
        </w:numPr>
        <w:ind w:left="0" w:right="-25" w:hanging="284"/>
      </w:pPr>
      <w:r>
        <w:t xml:space="preserve">Dictar la política general, los planes generales y la organización interna de la Institución. </w:t>
      </w:r>
    </w:p>
    <w:p w14:paraId="3C7D2920" w14:textId="77777777" w:rsidR="00A65F5F" w:rsidRDefault="00A65F5F" w:rsidP="00A65F5F">
      <w:pPr>
        <w:pStyle w:val="Prrafodelista"/>
        <w:numPr>
          <w:ilvl w:val="0"/>
          <w:numId w:val="14"/>
        </w:numPr>
        <w:ind w:left="0" w:right="-25" w:hanging="284"/>
      </w:pPr>
      <w:r>
        <w:t xml:space="preserve">Elegir de su seno, por mayoría de votos, un Vicepresidente que fungirá durante un año, pudiendo ser reelegido. Dicha elección se hará en la primera sesión ordinaria del Consejo Directivo del mes de junio de cada año. </w:t>
      </w:r>
    </w:p>
    <w:p w14:paraId="289F8F90" w14:textId="77777777" w:rsidR="00A65F5F" w:rsidRDefault="00A65F5F" w:rsidP="00A65F5F">
      <w:pPr>
        <w:pStyle w:val="Prrafodelista"/>
        <w:numPr>
          <w:ilvl w:val="0"/>
          <w:numId w:val="14"/>
        </w:numPr>
        <w:ind w:left="0" w:right="-25" w:hanging="284"/>
      </w:pPr>
      <w:r>
        <w:t xml:space="preserve">Designar y revocar los nombramientos de los jerarcas superiores de la Presidencia Ejecutiva, y la Gerencia, Auditor, Subauditores y Tesorero, de conformidad con lo establecido en los artículos 13 del Decreto Ley 449 del 8 de abril de 1949, 6 y 7 de la Ley 5507 del 19 de abril de 1974. Asimismo, ratificar los nombramientos de los Directores de las Unidades Estratégicas de Negocios del ICE. </w:t>
      </w:r>
    </w:p>
    <w:p w14:paraId="0C53401D" w14:textId="77777777" w:rsidR="00A65F5F" w:rsidRDefault="00A65F5F" w:rsidP="00A65F5F">
      <w:pPr>
        <w:pStyle w:val="Prrafodelista"/>
        <w:numPr>
          <w:ilvl w:val="0"/>
          <w:numId w:val="14"/>
        </w:numPr>
        <w:ind w:left="0" w:right="-25" w:hanging="284"/>
      </w:pPr>
      <w:r>
        <w:t xml:space="preserve">Nombrar por tiempo indefinido al Secretario General del Consejo Directivo, el cuál será un funcionario recomendado por la Presidencia Ejecutiva, quién será una persona profesional de reconocida solvencia moral y ética. </w:t>
      </w:r>
    </w:p>
    <w:p w14:paraId="70CF3FDF" w14:textId="77777777" w:rsidR="00A65F5F" w:rsidRDefault="00A65F5F" w:rsidP="00A65F5F">
      <w:pPr>
        <w:pStyle w:val="Prrafodelista"/>
        <w:numPr>
          <w:ilvl w:val="0"/>
          <w:numId w:val="14"/>
        </w:numPr>
        <w:ind w:left="0" w:right="-25" w:hanging="284"/>
      </w:pPr>
      <w:r>
        <w:t xml:space="preserve">Conocer en apelación, cuando corresponda en razón de su competencia, las resoluciones dictadas por los jerarcas de rango inferior, con facultades de agotar la vía administrativa en los casos que proceda. </w:t>
      </w:r>
    </w:p>
    <w:p w14:paraId="59D235B6" w14:textId="77777777" w:rsidR="00A65F5F" w:rsidRDefault="00A65F5F" w:rsidP="00A65F5F">
      <w:pPr>
        <w:pStyle w:val="Prrafodelista"/>
        <w:numPr>
          <w:ilvl w:val="0"/>
          <w:numId w:val="14"/>
        </w:numPr>
        <w:ind w:left="0" w:right="-25" w:hanging="284"/>
      </w:pPr>
      <w:r>
        <w:t xml:space="preserve">Aprobar o improbar los diferentes asuntos que constituyen la Orden del Día de la sesión sometida a su consideración. </w:t>
      </w:r>
    </w:p>
    <w:p w14:paraId="70636FF0" w14:textId="77777777" w:rsidR="00A65F5F" w:rsidRDefault="00A65F5F" w:rsidP="00A65F5F">
      <w:pPr>
        <w:pStyle w:val="Prrafodelista"/>
        <w:numPr>
          <w:ilvl w:val="0"/>
          <w:numId w:val="14"/>
        </w:numPr>
        <w:ind w:left="0" w:right="-25" w:hanging="284"/>
      </w:pPr>
      <w:r>
        <w:t xml:space="preserve">Nombrar de su seno, las comisiones especiales que consideren necesarias para la mejor gestión, documentación y resolución de los asuntos. </w:t>
      </w:r>
    </w:p>
    <w:p w14:paraId="31CA4ED0" w14:textId="77777777" w:rsidR="00A65F5F" w:rsidRDefault="00A65F5F" w:rsidP="00A65F5F">
      <w:pPr>
        <w:pStyle w:val="Prrafodelista"/>
        <w:numPr>
          <w:ilvl w:val="0"/>
          <w:numId w:val="14"/>
        </w:numPr>
        <w:ind w:left="0" w:right="-25" w:hanging="284"/>
      </w:pPr>
      <w:r>
        <w:t xml:space="preserve">Cualquier otra que en razón de su naturaleza le corresponda. </w:t>
      </w:r>
    </w:p>
    <w:p w14:paraId="393E4885" w14:textId="77777777" w:rsidR="00A65F5F" w:rsidRDefault="00A65F5F" w:rsidP="00A65F5F">
      <w:pPr>
        <w:pStyle w:val="Prrafodelista"/>
        <w:ind w:left="-567" w:right="-25"/>
      </w:pPr>
    </w:p>
    <w:p w14:paraId="2570F0AF" w14:textId="77777777" w:rsidR="00A65F5F" w:rsidRDefault="00A65F5F" w:rsidP="00A65F5F">
      <w:pPr>
        <w:pStyle w:val="Prrafodelista"/>
        <w:ind w:left="-567" w:right="-25"/>
        <w:rPr>
          <w:b/>
        </w:rPr>
      </w:pPr>
      <w:r w:rsidRPr="007604E1">
        <w:rPr>
          <w:b/>
        </w:rPr>
        <w:t xml:space="preserve"> Atribuciones:</w:t>
      </w:r>
    </w:p>
    <w:p w14:paraId="78CE1F4B" w14:textId="77777777" w:rsidR="00A65F5F" w:rsidRPr="007604E1" w:rsidRDefault="00A65F5F" w:rsidP="00A65F5F">
      <w:pPr>
        <w:pStyle w:val="Prrafodelista"/>
        <w:ind w:left="-567" w:right="-25"/>
        <w:rPr>
          <w:b/>
        </w:rPr>
      </w:pPr>
    </w:p>
    <w:p w14:paraId="16938984" w14:textId="77777777" w:rsidR="00A65F5F" w:rsidRDefault="00A65F5F" w:rsidP="00A65F5F">
      <w:pPr>
        <w:pStyle w:val="Prrafodelista"/>
        <w:numPr>
          <w:ilvl w:val="0"/>
          <w:numId w:val="13"/>
        </w:numPr>
        <w:ind w:left="0" w:right="-25" w:hanging="207"/>
      </w:pPr>
      <w:r>
        <w:t xml:space="preserve">Pedir a quién corresponda, dentro o fuera del ICE, los estudios, informes o investigaciones que sean pertinentes para la aclaración y decisión de los asuntos sometidos a su conocimiento. </w:t>
      </w:r>
    </w:p>
    <w:p w14:paraId="350F5DCD" w14:textId="77777777" w:rsidR="00A65F5F" w:rsidRDefault="00A65F5F" w:rsidP="00A65F5F">
      <w:pPr>
        <w:pStyle w:val="Prrafodelista"/>
        <w:numPr>
          <w:ilvl w:val="0"/>
          <w:numId w:val="13"/>
        </w:numPr>
        <w:ind w:left="0" w:right="-25" w:hanging="207"/>
      </w:pPr>
      <w:r>
        <w:t xml:space="preserve">Designar cuando lo estimen necesario y conveniente, a uno o más miembros para que viajen al exterior en representación del Consejo Directivo en misiones oficiales. </w:t>
      </w:r>
    </w:p>
    <w:p w14:paraId="298E5AF0" w14:textId="77777777" w:rsidR="00A65F5F" w:rsidRDefault="00A65F5F" w:rsidP="00A65F5F">
      <w:pPr>
        <w:pStyle w:val="Prrafodelista"/>
        <w:numPr>
          <w:ilvl w:val="0"/>
          <w:numId w:val="13"/>
        </w:numPr>
        <w:ind w:left="0" w:right="-25" w:hanging="207"/>
      </w:pPr>
      <w:r>
        <w:t xml:space="preserve">Designar un Presidente ad hoc en las ausencias temporales del Presidente o Vicepresidente. </w:t>
      </w:r>
    </w:p>
    <w:p w14:paraId="55437E61" w14:textId="77777777" w:rsidR="00A65F5F" w:rsidRDefault="00A65F5F" w:rsidP="00A65F5F">
      <w:pPr>
        <w:pStyle w:val="Prrafodelista"/>
        <w:numPr>
          <w:ilvl w:val="0"/>
          <w:numId w:val="13"/>
        </w:numPr>
        <w:ind w:left="0" w:right="-25" w:hanging="207"/>
      </w:pPr>
      <w:r>
        <w:t>Las demás funciones que señala la ley.</w:t>
      </w:r>
    </w:p>
    <w:p w14:paraId="19543D3C" w14:textId="77777777" w:rsidR="00A65F5F" w:rsidRPr="00670E95" w:rsidRDefault="00A65F5F" w:rsidP="00A65F5F">
      <w:pPr>
        <w:pStyle w:val="Ttulo3"/>
        <w:ind w:left="-567"/>
      </w:pPr>
      <w:bookmarkStart w:id="3211" w:name="_Toc304737244"/>
      <w:bookmarkStart w:id="3212" w:name="_Toc343676081"/>
      <w:bookmarkStart w:id="3213" w:name="_Toc358619444"/>
      <w:bookmarkStart w:id="3214" w:name="_Toc358620709"/>
      <w:bookmarkStart w:id="3215" w:name="_Toc358621916"/>
      <w:bookmarkStart w:id="3216" w:name="_Toc358622893"/>
      <w:bookmarkStart w:id="3217" w:name="_Toc26357178"/>
      <w:bookmarkStart w:id="3218" w:name="_Toc138664966"/>
      <w:r>
        <w:t xml:space="preserve">6.1.3 </w:t>
      </w:r>
      <w:r w:rsidRPr="00670E95">
        <w:t xml:space="preserve">Prácticas </w:t>
      </w:r>
      <w:r w:rsidRPr="009B7119">
        <w:t>de selección d</w:t>
      </w:r>
      <w:r>
        <w:t>el Consejo Directivo</w:t>
      </w:r>
      <w:bookmarkEnd w:id="3211"/>
      <w:bookmarkEnd w:id="3212"/>
      <w:bookmarkEnd w:id="3213"/>
      <w:bookmarkEnd w:id="3214"/>
      <w:bookmarkEnd w:id="3215"/>
      <w:bookmarkEnd w:id="3216"/>
      <w:bookmarkEnd w:id="3217"/>
      <w:bookmarkEnd w:id="3218"/>
    </w:p>
    <w:p w14:paraId="4FBDF326" w14:textId="77777777" w:rsidR="00A65F5F" w:rsidRPr="00670E95" w:rsidRDefault="00A65F5F" w:rsidP="00A65F5F">
      <w:pPr>
        <w:ind w:left="-540" w:right="-25"/>
      </w:pPr>
    </w:p>
    <w:p w14:paraId="4525D62A" w14:textId="77777777" w:rsidR="00A65F5F" w:rsidRDefault="00A65F5F" w:rsidP="00A65F5F">
      <w:pPr>
        <w:ind w:left="-540" w:right="-25"/>
      </w:pPr>
      <w:r>
        <w:t xml:space="preserve">Según su Ley de creación, el ICE goza de absoluta independencia administrativa y técnica del Poder Ejecutivo para la consecución de sus fines. Su administración superior le corresponde a un Consejo Directivo </w:t>
      </w:r>
      <w:r w:rsidRPr="00366F92">
        <w:t>integrado por siete (7) miembros propietarios de nombramiento del Poder Ejecutivo, cuatro (4) de los cuales formarán el quórum necesario para las sesiones</w:t>
      </w:r>
      <w:r>
        <w:t xml:space="preserve"> cuya presidencia recae en la figura del Presidente Ejecutivo del Instituto.  </w:t>
      </w:r>
      <w:r w:rsidRPr="00366F92">
        <w:t>Tres (3) directores serán ingenieros, con especialidad o experiencia profesional en telecomunicaciones o electricidad; uno, licenciado en Ciencias Económicas con el grado de maestría en Administración; uno, licenciado en Informática, con especialidad en Telemática y otro, licenciado en Derecho, con especialidad o experiencia profesional en Derecho público; todos deberán estar incorporados a sus respectivos colegios profesionales, de conformidad con la ley.  El presidente ejecutivo deberá reunir al menos una de las especialidades o experiencia profesional antes mencionadas.  Los directores deberán contar con un mínimo de siete (7) años de reconocida experiencia profesional, gerencial o empresarial en las áreas antes indicadas.  Todos deberán ser costarricenses caracterizados por su honorabilidad.  No podrán ser nombrados quienes, por un período de un año anterior al nombramiento, hayan realizado actividades que presenten un conflicto de intereses con el nuevo cargo; los directores serán elegidos por un concurso de antecedentes</w:t>
      </w:r>
      <w:r>
        <w:t>.</w:t>
      </w:r>
    </w:p>
    <w:p w14:paraId="5795EF89" w14:textId="77777777" w:rsidR="00A65F5F" w:rsidRDefault="00A65F5F" w:rsidP="00A65F5F">
      <w:pPr>
        <w:ind w:left="-540" w:right="-25"/>
      </w:pPr>
    </w:p>
    <w:p w14:paraId="2E13324A" w14:textId="77777777" w:rsidR="00A65F5F" w:rsidRDefault="00A65F5F" w:rsidP="00A65F5F">
      <w:pPr>
        <w:ind w:left="-540" w:right="-25"/>
      </w:pPr>
      <w:r>
        <w:t xml:space="preserve">El presidente ejecutivo será una persona de reconocida experiencia y conocimientos en el campo de las actividades de la correspondiente  institución, designado por el Consejo de Gobierno cuya gestión se regirá por las siguientes normas: </w:t>
      </w:r>
    </w:p>
    <w:p w14:paraId="317CFA5B" w14:textId="77777777" w:rsidR="00A65F5F" w:rsidRDefault="00A65F5F" w:rsidP="00A65F5F">
      <w:pPr>
        <w:numPr>
          <w:ilvl w:val="1"/>
          <w:numId w:val="8"/>
        </w:numPr>
        <w:ind w:left="284" w:right="-25" w:hanging="244"/>
      </w:pPr>
      <w:r>
        <w:t xml:space="preserve">Será el funcionario de mayor jerarquía para efectos de gobierno de la institución y le corresponderá fundamentalmente velar porque las decisiones tomadas por la Junta se ejecuten, así como coordinar la acción de la entidad cuya Junta preside, con la de las demás instituciones del Estado. Asimismo, asumirá las demás funciones que por ley le están reservadas al Presidente de la Junta Directiva así como las otras que le asigne la propia Junta. </w:t>
      </w:r>
    </w:p>
    <w:p w14:paraId="229D34C0" w14:textId="77777777" w:rsidR="00A65F5F" w:rsidRDefault="00A65F5F" w:rsidP="00A65F5F">
      <w:pPr>
        <w:numPr>
          <w:ilvl w:val="1"/>
          <w:numId w:val="8"/>
        </w:numPr>
        <w:ind w:left="284" w:right="-25" w:hanging="244"/>
      </w:pPr>
      <w:r>
        <w:t xml:space="preserve">Será un funcionario de tiempo completo y de dedicación exclusiva; consecuentemente, no podrá desempeñar ningún otro cargo público, ni ejercer profesiones liberales. </w:t>
      </w:r>
    </w:p>
    <w:p w14:paraId="03FD6C5E" w14:textId="77777777" w:rsidR="00A65F5F" w:rsidRDefault="00A65F5F" w:rsidP="00A65F5F">
      <w:pPr>
        <w:numPr>
          <w:ilvl w:val="1"/>
          <w:numId w:val="8"/>
        </w:numPr>
        <w:ind w:left="284" w:right="-25" w:hanging="244"/>
      </w:pPr>
      <w:r>
        <w:t xml:space="preserve">Podrá ser removido libremente por el Consejo de Gobierno, en cuyo caso tendrá derecho a la indemnización laboral que le corresponda por el tiempo servido en el cargo. Para la determinación de esa indemnización, se seguirán las reglas que fijan los artículos 28 y 29 del Código de Trabajo, con las limitaciones en cuanto al monto que ese articulado determina. </w:t>
      </w:r>
    </w:p>
    <w:p w14:paraId="2C32F19F" w14:textId="77777777" w:rsidR="00A65F5F" w:rsidRDefault="00A65F5F" w:rsidP="00A65F5F">
      <w:pPr>
        <w:ind w:left="-540" w:right="-25"/>
      </w:pPr>
    </w:p>
    <w:p w14:paraId="396C1F54" w14:textId="77777777" w:rsidR="00A65F5F" w:rsidRDefault="00A65F5F" w:rsidP="00A65F5F">
      <w:pPr>
        <w:ind w:left="-540" w:right="-25"/>
      </w:pPr>
      <w:r w:rsidRPr="00366F92">
        <w:t>Los demás miembros del Consejo durarán en funciones seis (6) años; serán nombrados uno cada año y podrán ser reelegidos.  Dejará de ser miembro del Consejo quien se ausente del país por más de dos (2) meses sin la autorización del Consejo, o con esta, si la ausencia es mayor que nueve (9) meses, o bien, el que falte a cuatro (4) sesiones ordinarias consecutivas sin autorización previa. En estos casos, el Consejo procederá a informar al Poder Ejecutivo, para que designe a otra persona por el resto del período respectivo.”</w:t>
      </w:r>
      <w:r>
        <w:t xml:space="preserve"> </w:t>
      </w:r>
    </w:p>
    <w:p w14:paraId="03FAA6B2" w14:textId="77777777" w:rsidR="00A65F5F" w:rsidRDefault="00A65F5F" w:rsidP="00A65F5F">
      <w:pPr>
        <w:ind w:left="-540" w:right="-25"/>
      </w:pPr>
    </w:p>
    <w:p w14:paraId="41D9B196" w14:textId="77777777" w:rsidR="00A65F5F" w:rsidRDefault="00A65F5F" w:rsidP="00A65F5F">
      <w:pPr>
        <w:ind w:left="-540" w:right="-25"/>
      </w:pPr>
      <w:r>
        <w:t xml:space="preserve">El nombramiento de los Directores del Consejo Directivo está normado por la Ley 4646 del 20 de octubre de 1970 y su reforma, Ley 5507 del 19 de abril de 1974.  Recientemente con la aprobación de la Ley 8660 de Fortalecimiento de las entidades públicas del sector de Telecomunicaciones, se reforman algunos aspectos que afectan las competencias de los miembros del Consejo Directivo, puntualizando algunos aspectos, como las responsabilidades que recaen sobre los Directores cuando incurran en actos contrarios a la Ley, o cuando se lesionen los intereses del Instituto:   </w:t>
      </w:r>
    </w:p>
    <w:p w14:paraId="577EA6CD" w14:textId="77777777" w:rsidR="00A65F5F" w:rsidRDefault="00A65F5F" w:rsidP="00A65F5F">
      <w:pPr>
        <w:ind w:left="-540" w:right="-25"/>
      </w:pPr>
    </w:p>
    <w:p w14:paraId="30D1E21C" w14:textId="77777777" w:rsidR="00A65F5F" w:rsidRDefault="00A65F5F" w:rsidP="00A65F5F">
      <w:r>
        <w:t>“</w:t>
      </w:r>
      <w:r w:rsidRPr="00366F92">
        <w:t>Los miembros del Consejo Directivo desempeñarán su cometido con autonomía, de conformidad con el ordenamiento jurídico, y serán los únicos responsables de su gestión ante la ley.  Sin perjuicio de las otras sanciones que les correspondan, responderán personalmente con su patrimonio, por las pérdidas que le provoquen al ICE, por la autorización que hayan hecho de operaciones prohibidas por la ley o contrarias a los intereses y objetivos de la Institución.  Quedarán exentos de esa responsabilidad, únicamente quienes hagan constar su voto disidente. Serán inamovibles durante el período de su cargo, excepto cuando exista justa causa o se declare contra ellos alguna responsabilidad legal que los inhiba del cumplimiento de sus funciones.  Las relaciones entre el Instituto y el Poder Ejecutivo serán por medio del ministro rector de los Sectores Energía y Telecomunicaciones.</w:t>
      </w:r>
      <w:r>
        <w:t>”</w:t>
      </w:r>
    </w:p>
    <w:p w14:paraId="7EDC2BA1" w14:textId="77777777" w:rsidR="003B4A2C" w:rsidRDefault="003B4A2C" w:rsidP="003B4A2C"/>
    <w:p w14:paraId="5F82A910" w14:textId="77777777" w:rsidR="003B4A2C" w:rsidRDefault="003B4A2C" w:rsidP="003B4A2C">
      <w:r>
        <w:t xml:space="preserve">Los miembros del Consejo Directivo </w:t>
      </w:r>
      <w:r w:rsidR="006F69D2">
        <w:t>tienen como</w:t>
      </w:r>
      <w:r>
        <w:t xml:space="preserve"> beneficio el pago de dietas</w:t>
      </w:r>
      <w:r w:rsidR="00632CE2">
        <w:t xml:space="preserve"> solamente</w:t>
      </w:r>
      <w:r>
        <w:t>, por lo tanto</w:t>
      </w:r>
      <w:r w:rsidR="00632CE2">
        <w:t>,</w:t>
      </w:r>
      <w:r>
        <w:t xml:space="preserve"> si se termina su nombramiento o es cesado, no obtienen ningún beneficio adicional.</w:t>
      </w:r>
    </w:p>
    <w:p w14:paraId="329CA21B" w14:textId="77777777" w:rsidR="00A65F5F" w:rsidRDefault="00A65F5F" w:rsidP="00EF0D70">
      <w:pPr>
        <w:pStyle w:val="Ttulo2"/>
        <w:numPr>
          <w:ilvl w:val="1"/>
          <w:numId w:val="55"/>
        </w:numPr>
      </w:pPr>
      <w:bookmarkStart w:id="3219" w:name="_Toc304737245"/>
      <w:bookmarkStart w:id="3220" w:name="_Toc343676082"/>
      <w:bookmarkStart w:id="3221" w:name="_Toc358619445"/>
      <w:bookmarkStart w:id="3222" w:name="_Toc358620710"/>
      <w:bookmarkStart w:id="3223" w:name="_Toc358621917"/>
      <w:bookmarkStart w:id="3224" w:name="_Toc358622894"/>
      <w:bookmarkStart w:id="3225" w:name="_Toc26357179"/>
      <w:bookmarkStart w:id="3226" w:name="_Toc138664967"/>
      <w:r w:rsidRPr="00F534B5">
        <w:t>Personal</w:t>
      </w:r>
      <w:r w:rsidRPr="002762CD">
        <w:t xml:space="preserve"> Gerencial</w:t>
      </w:r>
      <w:bookmarkEnd w:id="3219"/>
      <w:bookmarkEnd w:id="3220"/>
      <w:bookmarkEnd w:id="3221"/>
      <w:bookmarkEnd w:id="3222"/>
      <w:bookmarkEnd w:id="3223"/>
      <w:bookmarkEnd w:id="3224"/>
      <w:bookmarkEnd w:id="3225"/>
      <w:bookmarkEnd w:id="3226"/>
    </w:p>
    <w:p w14:paraId="3E03B0BD" w14:textId="77777777" w:rsidR="00B318A5" w:rsidRPr="00B318A5" w:rsidRDefault="00B318A5" w:rsidP="00B318A5">
      <w:pPr>
        <w:rPr>
          <w:lang w:val="es-ES"/>
        </w:rPr>
      </w:pPr>
    </w:p>
    <w:p w14:paraId="2EA00EB7" w14:textId="77777777" w:rsidR="00A65F5F" w:rsidRPr="00670E95" w:rsidRDefault="00A65F5F" w:rsidP="00A65F5F">
      <w:pPr>
        <w:ind w:left="-540" w:right="-25"/>
      </w:pPr>
      <w:bookmarkStart w:id="3227" w:name="_Toc229150158"/>
      <w:bookmarkStart w:id="3228" w:name="_Toc229150798"/>
      <w:bookmarkStart w:id="3229" w:name="_Toc191377649"/>
      <w:bookmarkStart w:id="3230" w:name="_Toc192577396"/>
      <w:bookmarkStart w:id="3231" w:name="_Toc192591270"/>
      <w:bookmarkStart w:id="3232" w:name="_Toc192925778"/>
      <w:bookmarkStart w:id="3233" w:name="_Toc192925865"/>
      <w:bookmarkStart w:id="3234" w:name="_Toc192933521"/>
      <w:bookmarkStart w:id="3235" w:name="_Toc192933752"/>
      <w:bookmarkStart w:id="3236" w:name="_Toc193006334"/>
      <w:bookmarkStart w:id="3237" w:name="_Toc193006425"/>
      <w:bookmarkStart w:id="3238" w:name="_Toc193006515"/>
      <w:bookmarkStart w:id="3239" w:name="_Toc193006605"/>
      <w:bookmarkStart w:id="3240" w:name="_Toc193006695"/>
      <w:bookmarkStart w:id="3241" w:name="_Toc193006784"/>
      <w:bookmarkStart w:id="3242" w:name="_Toc193114077"/>
      <w:bookmarkStart w:id="3243" w:name="_Toc193185721"/>
      <w:bookmarkStart w:id="3244" w:name="_Toc193188608"/>
      <w:bookmarkStart w:id="3245" w:name="_Toc193200060"/>
      <w:bookmarkStart w:id="3246" w:name="_Toc197158922"/>
      <w:bookmarkStart w:id="3247" w:name="_Toc197160185"/>
      <w:bookmarkStart w:id="3248" w:name="_Toc197235650"/>
      <w:bookmarkStart w:id="3249" w:name="_Toc197235988"/>
      <w:bookmarkStart w:id="3250" w:name="_Toc199652869"/>
      <w:bookmarkStart w:id="3251" w:name="_Toc200335866"/>
      <w:bookmarkStart w:id="3252" w:name="_Toc206844824"/>
      <w:bookmarkStart w:id="3253" w:name="_Toc206905687"/>
      <w:bookmarkStart w:id="3254" w:name="_Toc207095796"/>
      <w:bookmarkStart w:id="3255" w:name="_Toc207098182"/>
      <w:bookmarkStart w:id="3256" w:name="_Toc207098375"/>
      <w:bookmarkStart w:id="3257" w:name="_Toc207098572"/>
      <w:bookmarkStart w:id="3258" w:name="_Toc207098672"/>
      <w:bookmarkStart w:id="3259" w:name="_Toc207098771"/>
      <w:bookmarkStart w:id="3260" w:name="_Toc207103432"/>
      <w:bookmarkStart w:id="3261" w:name="_Toc207178819"/>
      <w:bookmarkStart w:id="3262" w:name="_Toc208394699"/>
      <w:bookmarkStart w:id="3263" w:name="_Toc210618910"/>
      <w:bookmarkStart w:id="3264" w:name="_Toc210619192"/>
      <w:bookmarkStart w:id="3265" w:name="_Toc210619419"/>
      <w:bookmarkStart w:id="3266" w:name="_Toc210619927"/>
      <w:bookmarkStart w:id="3267" w:name="_Toc222025483"/>
      <w:bookmarkStart w:id="3268" w:name="_Toc222030419"/>
      <w:bookmarkStart w:id="3269" w:name="_Toc222135050"/>
      <w:bookmarkStart w:id="3270" w:name="_Toc222675471"/>
      <w:bookmarkStart w:id="3271" w:name="_Toc222828439"/>
      <w:bookmarkStart w:id="3272" w:name="_Toc222828536"/>
      <w:bookmarkStart w:id="3273" w:name="_Toc222887749"/>
      <w:bookmarkStart w:id="3274" w:name="_Toc222912215"/>
      <w:bookmarkStart w:id="3275" w:name="_Toc222915274"/>
      <w:bookmarkStart w:id="3276" w:name="_Toc222915368"/>
      <w:bookmarkStart w:id="3277" w:name="_Toc222919750"/>
      <w:bookmarkStart w:id="3278" w:name="_Toc222919844"/>
      <w:bookmarkStart w:id="3279" w:name="_Toc222919939"/>
      <w:bookmarkStart w:id="3280" w:name="_Toc222920242"/>
      <w:bookmarkStart w:id="3281" w:name="_Toc223164595"/>
      <w:bookmarkStart w:id="3282" w:name="_Toc223176028"/>
      <w:bookmarkStart w:id="3283" w:name="_Toc223337154"/>
      <w:bookmarkStart w:id="3284" w:name="_Toc223337247"/>
      <w:bookmarkStart w:id="3285" w:name="_Toc223342240"/>
      <w:bookmarkStart w:id="3286" w:name="_Toc223357605"/>
      <w:bookmarkStart w:id="3287" w:name="_Toc223357696"/>
      <w:bookmarkStart w:id="3288" w:name="_Toc223491470"/>
      <w:bookmarkStart w:id="3289" w:name="_Toc225051400"/>
      <w:bookmarkStart w:id="3290" w:name="_Toc225073490"/>
      <w:bookmarkStart w:id="3291" w:name="_Toc225078438"/>
      <w:bookmarkStart w:id="3292" w:name="_Toc225078529"/>
      <w:bookmarkStart w:id="3293" w:name="_Toc225079370"/>
      <w:bookmarkStart w:id="3294" w:name="_Toc225148996"/>
      <w:bookmarkStart w:id="3295" w:name="_Toc225149087"/>
      <w:bookmarkStart w:id="3296" w:name="_Toc225149178"/>
      <w:bookmarkStart w:id="3297" w:name="_Toc225154746"/>
      <w:bookmarkStart w:id="3298" w:name="_Toc225156260"/>
      <w:bookmarkStart w:id="3299" w:name="_Toc225160929"/>
      <w:bookmarkStart w:id="3300" w:name="_Toc225223169"/>
      <w:bookmarkStart w:id="3301" w:name="_Toc225241410"/>
      <w:bookmarkStart w:id="3302" w:name="_Toc225242795"/>
      <w:bookmarkStart w:id="3303" w:name="_Toc225242887"/>
      <w:bookmarkStart w:id="3304" w:name="_Toc225307393"/>
      <w:bookmarkStart w:id="3305" w:name="_Toc225307485"/>
      <w:bookmarkStart w:id="3306" w:name="_Toc225912389"/>
      <w:bookmarkStart w:id="3307" w:name="_Toc225912497"/>
      <w:bookmarkStart w:id="3308" w:name="_Toc225912589"/>
      <w:bookmarkStart w:id="3309" w:name="_Toc225912713"/>
      <w:bookmarkStart w:id="3310" w:name="_Toc225912805"/>
      <w:bookmarkStart w:id="3311" w:name="_Toc225912897"/>
      <w:bookmarkStart w:id="3312" w:name="_Toc225912989"/>
      <w:bookmarkStart w:id="3313" w:name="_Toc225913082"/>
      <w:bookmarkStart w:id="3314" w:name="_Toc225913247"/>
      <w:bookmarkStart w:id="3315" w:name="_Toc225913348"/>
      <w:bookmarkStart w:id="3316" w:name="_Toc225913568"/>
      <w:bookmarkStart w:id="3317" w:name="_Toc225913774"/>
      <w:bookmarkStart w:id="3318" w:name="_Toc225913870"/>
      <w:bookmarkStart w:id="3319" w:name="_Toc225913966"/>
      <w:bookmarkStart w:id="3320" w:name="_Toc225914062"/>
      <w:bookmarkStart w:id="3321" w:name="_Toc225914158"/>
      <w:bookmarkStart w:id="3322" w:name="_Toc225914285"/>
      <w:bookmarkStart w:id="3323" w:name="_Toc225914381"/>
      <w:bookmarkStart w:id="3324" w:name="_Toc225914655"/>
      <w:bookmarkStart w:id="3325" w:name="_Toc225914751"/>
      <w:bookmarkStart w:id="3326" w:name="_Toc225914848"/>
      <w:bookmarkStart w:id="3327" w:name="_Toc225914946"/>
      <w:bookmarkStart w:id="3328" w:name="_Toc225915043"/>
      <w:bookmarkStart w:id="3329" w:name="_Toc225915141"/>
      <w:bookmarkStart w:id="3330" w:name="_Toc225921509"/>
      <w:bookmarkStart w:id="3331" w:name="_Toc226779693"/>
      <w:bookmarkStart w:id="3332" w:name="_Toc226807279"/>
      <w:bookmarkStart w:id="3333" w:name="_Toc226807393"/>
      <w:bookmarkStart w:id="3334" w:name="_Toc226807507"/>
      <w:bookmarkStart w:id="3335" w:name="_Toc226807618"/>
      <w:bookmarkStart w:id="3336" w:name="_Toc226808505"/>
      <w:bookmarkStart w:id="3337" w:name="_Toc226808616"/>
      <w:bookmarkStart w:id="3338" w:name="_Toc226809129"/>
      <w:bookmarkStart w:id="3339" w:name="_Toc226809239"/>
      <w:bookmarkStart w:id="3340" w:name="_Toc226809350"/>
      <w:bookmarkStart w:id="3341" w:name="_Toc226809460"/>
      <w:bookmarkStart w:id="3342" w:name="_Toc226809566"/>
      <w:bookmarkStart w:id="3343" w:name="_Toc226809883"/>
      <w:bookmarkStart w:id="3344" w:name="_Toc226810130"/>
      <w:bookmarkStart w:id="3345" w:name="_Toc228013161"/>
      <w:bookmarkStart w:id="3346" w:name="_Toc228084855"/>
      <w:bookmarkStart w:id="3347" w:name="_Toc228087412"/>
      <w:bookmarkStart w:id="3348" w:name="_Toc228098651"/>
      <w:bookmarkStart w:id="3349" w:name="_Toc228696437"/>
      <w:bookmarkStart w:id="3350" w:name="_Toc229149200"/>
      <w:bookmarkStart w:id="3351" w:name="_Toc229149338"/>
      <w:bookmarkStart w:id="3352" w:name="_Toc229150159"/>
      <w:bookmarkStart w:id="3353" w:name="_Toc229150799"/>
      <w:bookmarkStart w:id="3354" w:name="_Toc231981242"/>
      <w:bookmarkStart w:id="3355" w:name="_Toc234672931"/>
      <w:bookmarkStart w:id="3356" w:name="_Toc234673041"/>
      <w:bookmarkStart w:id="3357" w:name="_Toc234673150"/>
      <w:bookmarkStart w:id="3358" w:name="_Toc234673259"/>
      <w:bookmarkStart w:id="3359" w:name="_Toc234673368"/>
      <w:bookmarkStart w:id="3360" w:name="_Toc234673587"/>
      <w:bookmarkStart w:id="3361" w:name="_Toc234673697"/>
      <w:bookmarkStart w:id="3362" w:name="_Toc234744113"/>
      <w:bookmarkStart w:id="3363" w:name="_Toc234744327"/>
      <w:bookmarkStart w:id="3364" w:name="_Toc234750757"/>
      <w:bookmarkStart w:id="3365" w:name="_Toc234750869"/>
      <w:bookmarkStart w:id="3366" w:name="_Toc234923961"/>
      <w:bookmarkStart w:id="3367" w:name="_Toc234925883"/>
      <w:bookmarkStart w:id="3368" w:name="_Toc235615316"/>
      <w:bookmarkStart w:id="3369" w:name="_Toc235616805"/>
      <w:bookmarkStart w:id="3370" w:name="_Toc235857053"/>
      <w:bookmarkStart w:id="3371" w:name="_Toc237334751"/>
      <w:bookmarkStart w:id="3372" w:name="_Toc237919704"/>
      <w:bookmarkStart w:id="3373" w:name="_Toc238276628"/>
      <w:bookmarkStart w:id="3374" w:name="_Toc238869571"/>
      <w:bookmarkStart w:id="3375" w:name="_Toc238873124"/>
      <w:bookmarkStart w:id="3376" w:name="_Toc238873497"/>
      <w:bookmarkStart w:id="3377" w:name="_Toc238877034"/>
      <w:bookmarkStart w:id="3378" w:name="_Toc240107403"/>
      <w:bookmarkStart w:id="3379" w:name="_Toc240159634"/>
      <w:bookmarkStart w:id="3380" w:name="_Toc240159786"/>
      <w:bookmarkStart w:id="3381" w:name="_Toc240255824"/>
      <w:bookmarkStart w:id="3382" w:name="_Toc240267728"/>
      <w:bookmarkStart w:id="3383" w:name="_Toc240267839"/>
      <w:bookmarkStart w:id="3384" w:name="_Toc240268232"/>
      <w:bookmarkStart w:id="3385" w:name="_Toc240268487"/>
      <w:bookmarkStart w:id="3386" w:name="_Toc240268600"/>
      <w:bookmarkStart w:id="3387" w:name="_Toc240268711"/>
      <w:bookmarkStart w:id="3388" w:name="_Toc240454302"/>
      <w:bookmarkStart w:id="3389" w:name="_Toc240697987"/>
      <w:bookmarkStart w:id="3390" w:name="_Toc258937789"/>
      <w:bookmarkStart w:id="3391" w:name="_Toc261418439"/>
      <w:bookmarkStart w:id="3392" w:name="_Toc261458623"/>
      <w:bookmarkStart w:id="3393" w:name="_Toc261459011"/>
      <w:bookmarkStart w:id="3394" w:name="_Toc262203333"/>
      <w:bookmarkStart w:id="3395" w:name="_Toc262218670"/>
      <w:bookmarkStart w:id="3396" w:name="_Toc262319126"/>
      <w:bookmarkStart w:id="3397" w:name="_Toc262459020"/>
      <w:bookmarkStart w:id="3398" w:name="_Toc262459874"/>
      <w:bookmarkStart w:id="3399" w:name="_Toc262460289"/>
      <w:bookmarkStart w:id="3400" w:name="_Toc262460416"/>
      <w:bookmarkStart w:id="3401" w:name="_Toc262460543"/>
      <w:bookmarkStart w:id="3402" w:name="_Toc262481039"/>
      <w:bookmarkStart w:id="3403" w:name="_Toc262483229"/>
      <w:bookmarkStart w:id="3404" w:name="_Toc262483363"/>
      <w:bookmarkStart w:id="3405" w:name="_Toc262483500"/>
      <w:bookmarkStart w:id="3406" w:name="_Toc262483636"/>
      <w:bookmarkStart w:id="3407" w:name="_Toc262483771"/>
      <w:bookmarkStart w:id="3408" w:name="_Toc262483906"/>
      <w:bookmarkStart w:id="3409" w:name="_Toc304736458"/>
      <w:bookmarkStart w:id="3410" w:name="_Toc304736692"/>
      <w:bookmarkStart w:id="3411" w:name="_Toc304736940"/>
      <w:bookmarkStart w:id="3412" w:name="_Toc304737246"/>
      <w:bookmarkStart w:id="3413" w:name="_Toc326700941"/>
      <w:bookmarkStart w:id="3414" w:name="_Toc326701579"/>
      <w:bookmarkStart w:id="3415" w:name="_Toc326730925"/>
      <w:bookmarkStart w:id="3416" w:name="_Toc326731111"/>
      <w:bookmarkStart w:id="3417" w:name="_Toc326731609"/>
      <w:bookmarkStart w:id="3418" w:name="_Toc326732521"/>
      <w:bookmarkStart w:id="3419" w:name="_Toc326734252"/>
      <w:bookmarkStart w:id="3420" w:name="_Toc326735201"/>
      <w:bookmarkStart w:id="3421" w:name="_Toc326735512"/>
      <w:bookmarkStart w:id="3422" w:name="_Toc343676083"/>
      <w:bookmarkStart w:id="3423" w:name="_Toc358619446"/>
      <w:bookmarkStart w:id="3424" w:name="_Toc358620711"/>
      <w:bookmarkStart w:id="3425" w:name="_Toc358621918"/>
      <w:bookmarkStart w:id="3426" w:name="_Toc358622895"/>
      <w:bookmarkStart w:id="3427" w:name="_Toc358623023"/>
      <w:bookmarkStart w:id="3428" w:name="_Toc390247953"/>
      <w:bookmarkStart w:id="3429" w:name="_Toc421258464"/>
      <w:bookmarkStart w:id="3430" w:name="_Toc421264532"/>
      <w:bookmarkStart w:id="3431" w:name="_Toc421264776"/>
      <w:bookmarkStart w:id="3432" w:name="_Toc421265091"/>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4228"/>
      </w:tblGrid>
      <w:tr w:rsidR="00A65F5F" w:rsidRPr="00670E95" w14:paraId="743824CA" w14:textId="77777777" w:rsidTr="00E92822">
        <w:trPr>
          <w:jc w:val="center"/>
        </w:trPr>
        <w:tc>
          <w:tcPr>
            <w:tcW w:w="3615" w:type="dxa"/>
            <w:shd w:val="clear" w:color="auto" w:fill="0F243E"/>
          </w:tcPr>
          <w:p w14:paraId="4D6143F8" w14:textId="77777777" w:rsidR="00A65F5F" w:rsidRPr="00670E95" w:rsidRDefault="00A65F5F" w:rsidP="00E92822">
            <w:pPr>
              <w:ind w:right="-25"/>
              <w:rPr>
                <w:color w:val="D9D9D9"/>
              </w:rPr>
            </w:pPr>
            <w:r w:rsidRPr="00670E95">
              <w:rPr>
                <w:color w:val="D9D9D9"/>
              </w:rPr>
              <w:t>Miembros Grupo Gerencial</w:t>
            </w:r>
          </w:p>
        </w:tc>
        <w:tc>
          <w:tcPr>
            <w:tcW w:w="4228" w:type="dxa"/>
            <w:tcBorders>
              <w:right w:val="nil"/>
            </w:tcBorders>
            <w:shd w:val="clear" w:color="auto" w:fill="0F243E"/>
          </w:tcPr>
          <w:p w14:paraId="2779517E" w14:textId="77777777" w:rsidR="00A65F5F" w:rsidRPr="00670E95" w:rsidRDefault="00A65F5F" w:rsidP="00E92822">
            <w:pPr>
              <w:ind w:right="-25"/>
              <w:rPr>
                <w:color w:val="D9D9D9"/>
              </w:rPr>
            </w:pPr>
            <w:r w:rsidRPr="00670E95">
              <w:rPr>
                <w:color w:val="D9D9D9"/>
              </w:rPr>
              <w:t>Cargo</w:t>
            </w:r>
          </w:p>
        </w:tc>
      </w:tr>
      <w:tr w:rsidR="000833F6" w:rsidRPr="00670E95" w14:paraId="28369433" w14:textId="77777777" w:rsidTr="00E92822">
        <w:trPr>
          <w:jc w:val="center"/>
        </w:trPr>
        <w:tc>
          <w:tcPr>
            <w:tcW w:w="3615" w:type="dxa"/>
            <w:tcBorders>
              <w:left w:val="nil"/>
            </w:tcBorders>
          </w:tcPr>
          <w:p w14:paraId="28E8474E" w14:textId="68E1FC83" w:rsidR="000833F6" w:rsidRDefault="0070362D" w:rsidP="00E92822">
            <w:pPr>
              <w:ind w:right="-25"/>
              <w:rPr>
                <w:b/>
              </w:rPr>
            </w:pPr>
            <w:r>
              <w:rPr>
                <w:b/>
              </w:rPr>
              <w:t>Harold Cordero Villalobos</w:t>
            </w:r>
            <w:r w:rsidR="004527BC">
              <w:rPr>
                <w:b/>
              </w:rPr>
              <w:t>*</w:t>
            </w:r>
          </w:p>
        </w:tc>
        <w:tc>
          <w:tcPr>
            <w:tcW w:w="4228" w:type="dxa"/>
            <w:tcBorders>
              <w:right w:val="nil"/>
            </w:tcBorders>
          </w:tcPr>
          <w:p w14:paraId="720440CB" w14:textId="77777777" w:rsidR="000833F6" w:rsidRDefault="000833F6" w:rsidP="00E92822">
            <w:pPr>
              <w:ind w:right="-25"/>
            </w:pPr>
            <w:r>
              <w:t>Gerente General</w:t>
            </w:r>
          </w:p>
        </w:tc>
      </w:tr>
      <w:tr w:rsidR="00A65F5F" w:rsidRPr="00670E95" w14:paraId="39EAF2DA" w14:textId="77777777" w:rsidTr="00E92822">
        <w:trPr>
          <w:jc w:val="center"/>
        </w:trPr>
        <w:tc>
          <w:tcPr>
            <w:tcW w:w="3615" w:type="dxa"/>
            <w:tcBorders>
              <w:left w:val="nil"/>
            </w:tcBorders>
          </w:tcPr>
          <w:p w14:paraId="50E02418" w14:textId="29924B7A" w:rsidR="00A65F5F" w:rsidRPr="002C3CE6" w:rsidRDefault="00E71859" w:rsidP="00E92822">
            <w:pPr>
              <w:ind w:right="-25"/>
              <w:rPr>
                <w:b/>
              </w:rPr>
            </w:pPr>
            <w:r>
              <w:rPr>
                <w:b/>
              </w:rPr>
              <w:t>Roberto Quirós Balma</w:t>
            </w:r>
          </w:p>
        </w:tc>
        <w:tc>
          <w:tcPr>
            <w:tcW w:w="4228" w:type="dxa"/>
            <w:tcBorders>
              <w:right w:val="nil"/>
            </w:tcBorders>
          </w:tcPr>
          <w:p w14:paraId="41D59611" w14:textId="78588350" w:rsidR="00A65F5F" w:rsidRPr="002C3CE6" w:rsidRDefault="000833F6" w:rsidP="00E92822">
            <w:pPr>
              <w:ind w:right="-25"/>
            </w:pPr>
            <w:r>
              <w:t>Gerente</w:t>
            </w:r>
            <w:r w:rsidR="00A65F5F">
              <w:t xml:space="preserve"> </w:t>
            </w:r>
            <w:r w:rsidR="00F43F60">
              <w:t>de</w:t>
            </w:r>
            <w:r w:rsidR="00F43F60" w:rsidRPr="002C3CE6">
              <w:t xml:space="preserve"> Electricidad</w:t>
            </w:r>
          </w:p>
        </w:tc>
      </w:tr>
      <w:tr w:rsidR="00A65F5F" w:rsidRPr="00670E95" w14:paraId="2638D7D4" w14:textId="77777777" w:rsidTr="00E92822">
        <w:trPr>
          <w:jc w:val="center"/>
        </w:trPr>
        <w:tc>
          <w:tcPr>
            <w:tcW w:w="3615" w:type="dxa"/>
            <w:tcBorders>
              <w:left w:val="nil"/>
            </w:tcBorders>
          </w:tcPr>
          <w:p w14:paraId="05736586" w14:textId="1D5EB860" w:rsidR="00A65F5F" w:rsidRDefault="00E71859" w:rsidP="00E92822">
            <w:pPr>
              <w:ind w:right="-25"/>
              <w:rPr>
                <w:b/>
              </w:rPr>
            </w:pPr>
            <w:r>
              <w:rPr>
                <w:b/>
              </w:rPr>
              <w:t>Melvin Monge Sandí</w:t>
            </w:r>
          </w:p>
        </w:tc>
        <w:tc>
          <w:tcPr>
            <w:tcW w:w="4228" w:type="dxa"/>
            <w:tcBorders>
              <w:right w:val="nil"/>
            </w:tcBorders>
          </w:tcPr>
          <w:p w14:paraId="370A6E5E" w14:textId="0BF712F0" w:rsidR="00A65F5F" w:rsidRDefault="00A65F5F" w:rsidP="005639FB">
            <w:pPr>
              <w:ind w:right="-25"/>
            </w:pPr>
            <w:r>
              <w:t xml:space="preserve">Gerente de </w:t>
            </w:r>
            <w:r w:rsidR="00805273">
              <w:t>Servicios y Recursos Empresariales</w:t>
            </w:r>
          </w:p>
        </w:tc>
      </w:tr>
      <w:tr w:rsidR="006C1066" w:rsidRPr="00670E95" w14:paraId="05272B39" w14:textId="77777777" w:rsidTr="00E92822">
        <w:trPr>
          <w:jc w:val="center"/>
        </w:trPr>
        <w:tc>
          <w:tcPr>
            <w:tcW w:w="3615" w:type="dxa"/>
            <w:tcBorders>
              <w:left w:val="nil"/>
            </w:tcBorders>
          </w:tcPr>
          <w:p w14:paraId="6DBCA506" w14:textId="7BDCE3AD" w:rsidR="006C1066" w:rsidRDefault="00805273" w:rsidP="001C1FAB">
            <w:pPr>
              <w:ind w:right="-25"/>
              <w:rPr>
                <w:b/>
              </w:rPr>
            </w:pPr>
            <w:r>
              <w:rPr>
                <w:b/>
              </w:rPr>
              <w:t>Keiner Arce Guerrero</w:t>
            </w:r>
            <w:r w:rsidR="004527BC">
              <w:rPr>
                <w:b/>
              </w:rPr>
              <w:t>*</w:t>
            </w:r>
          </w:p>
        </w:tc>
        <w:tc>
          <w:tcPr>
            <w:tcW w:w="4228" w:type="dxa"/>
            <w:tcBorders>
              <w:right w:val="nil"/>
            </w:tcBorders>
          </w:tcPr>
          <w:p w14:paraId="7913BC2E" w14:textId="77777777" w:rsidR="006C1066" w:rsidRDefault="006C1066" w:rsidP="005639FB">
            <w:pPr>
              <w:ind w:right="-25"/>
            </w:pPr>
            <w:r>
              <w:t>Gerente de Finanzas</w:t>
            </w:r>
          </w:p>
        </w:tc>
      </w:tr>
      <w:tr w:rsidR="006C1066" w:rsidRPr="00670E95" w14:paraId="4AA49AA7" w14:textId="77777777" w:rsidTr="00E92822">
        <w:trPr>
          <w:jc w:val="center"/>
        </w:trPr>
        <w:tc>
          <w:tcPr>
            <w:tcW w:w="3615" w:type="dxa"/>
            <w:tcBorders>
              <w:left w:val="nil"/>
            </w:tcBorders>
          </w:tcPr>
          <w:p w14:paraId="4AB1DC95" w14:textId="06384A94" w:rsidR="006C1066" w:rsidRDefault="00AC4D6B" w:rsidP="00E92822">
            <w:pPr>
              <w:ind w:right="-25"/>
              <w:rPr>
                <w:b/>
              </w:rPr>
            </w:pPr>
            <w:r>
              <w:rPr>
                <w:b/>
              </w:rPr>
              <w:t>Luis Diego Abarca Fernández</w:t>
            </w:r>
          </w:p>
        </w:tc>
        <w:tc>
          <w:tcPr>
            <w:tcW w:w="4228" w:type="dxa"/>
            <w:tcBorders>
              <w:right w:val="nil"/>
            </w:tcBorders>
          </w:tcPr>
          <w:p w14:paraId="246826C8" w14:textId="77777777" w:rsidR="006C1066" w:rsidRDefault="006C1066" w:rsidP="005639FB">
            <w:pPr>
              <w:ind w:right="-25"/>
            </w:pPr>
            <w:r>
              <w:t>Gerente de Telecomunicaciones</w:t>
            </w:r>
          </w:p>
        </w:tc>
      </w:tr>
      <w:tr w:rsidR="006C1066" w:rsidRPr="00670E95" w14:paraId="24342644" w14:textId="77777777" w:rsidTr="00E92822">
        <w:trPr>
          <w:jc w:val="center"/>
        </w:trPr>
        <w:tc>
          <w:tcPr>
            <w:tcW w:w="3615" w:type="dxa"/>
            <w:tcBorders>
              <w:left w:val="nil"/>
            </w:tcBorders>
          </w:tcPr>
          <w:p w14:paraId="27CDC3E6" w14:textId="14BC8255" w:rsidR="006C1066" w:rsidRDefault="00AC4D6B" w:rsidP="00E92822">
            <w:pPr>
              <w:ind w:right="-25"/>
              <w:rPr>
                <w:b/>
              </w:rPr>
            </w:pPr>
            <w:r>
              <w:rPr>
                <w:b/>
              </w:rPr>
              <w:t>Vera Bonilla Masís</w:t>
            </w:r>
          </w:p>
        </w:tc>
        <w:tc>
          <w:tcPr>
            <w:tcW w:w="4228" w:type="dxa"/>
            <w:tcBorders>
              <w:right w:val="nil"/>
            </w:tcBorders>
          </w:tcPr>
          <w:p w14:paraId="1BE1101F" w14:textId="133AB3E6" w:rsidR="006C1066" w:rsidRDefault="006C1066" w:rsidP="005639FB">
            <w:pPr>
              <w:ind w:right="-25"/>
            </w:pPr>
            <w:r>
              <w:t xml:space="preserve">Gerente de </w:t>
            </w:r>
            <w:r w:rsidR="00AC4D6B">
              <w:t>Tecnología y Soluciones Digitales</w:t>
            </w:r>
          </w:p>
        </w:tc>
      </w:tr>
    </w:tbl>
    <w:p w14:paraId="7FACD099" w14:textId="439A8401" w:rsidR="00A453A1" w:rsidRDefault="00A453A1" w:rsidP="00A453A1">
      <w:pPr>
        <w:rPr>
          <w:sz w:val="22"/>
          <w:szCs w:val="22"/>
        </w:rPr>
      </w:pPr>
      <w:r>
        <w:t xml:space="preserve">*Para todos los efectos ante la Superintendencia General de Valores, los señores </w:t>
      </w:r>
      <w:r w:rsidR="00F43F60">
        <w:t>Harold Cordero Villalobos</w:t>
      </w:r>
      <w:r>
        <w:t xml:space="preserve"> y </w:t>
      </w:r>
      <w:r w:rsidR="00F43F60">
        <w:t>Keiner Arce Guerrero</w:t>
      </w:r>
      <w:r w:rsidR="00412768">
        <w:t xml:space="preserve">, tienen </w:t>
      </w:r>
      <w:r>
        <w:t>poder generalísimo sin límite de suma, y son los</w:t>
      </w:r>
      <w:r w:rsidR="00412768">
        <w:t xml:space="preserve"> únicos</w:t>
      </w:r>
      <w:r>
        <w:t xml:space="preserve"> autorizados para actuar ante dicha Superintendencia.</w:t>
      </w:r>
    </w:p>
    <w:p w14:paraId="23CB6BE1" w14:textId="77777777" w:rsidR="00A65F5F" w:rsidRDefault="00A65F5F" w:rsidP="00A65F5F">
      <w:pPr>
        <w:ind w:left="-540" w:right="-25"/>
      </w:pPr>
    </w:p>
    <w:p w14:paraId="4DF6589A" w14:textId="77777777" w:rsidR="00233FA1" w:rsidRDefault="00233FA1" w:rsidP="00A65F5F">
      <w:pPr>
        <w:ind w:left="-540" w:right="-25"/>
      </w:pPr>
    </w:p>
    <w:p w14:paraId="7EB1D8D1" w14:textId="77777777" w:rsidR="00834529" w:rsidRDefault="00834529" w:rsidP="00A65F5F">
      <w:pPr>
        <w:ind w:left="-540" w:right="-25"/>
      </w:pPr>
    </w:p>
    <w:tbl>
      <w:tblPr>
        <w:tblStyle w:val="Tablaconcuadrcula"/>
        <w:tblW w:w="10207" w:type="dxa"/>
        <w:jc w:val="center"/>
        <w:tblLook w:val="04A0" w:firstRow="1" w:lastRow="0" w:firstColumn="1" w:lastColumn="0" w:noHBand="0" w:noVBand="1"/>
      </w:tblPr>
      <w:tblGrid>
        <w:gridCol w:w="2127"/>
        <w:gridCol w:w="8080"/>
      </w:tblGrid>
      <w:tr w:rsidR="00870B7D" w14:paraId="61476D51" w14:textId="77777777" w:rsidTr="00973421">
        <w:trPr>
          <w:jc w:val="center"/>
        </w:trPr>
        <w:tc>
          <w:tcPr>
            <w:tcW w:w="2127" w:type="dxa"/>
          </w:tcPr>
          <w:p w14:paraId="07D7D812" w14:textId="77777777" w:rsidR="00870B7D" w:rsidRPr="00780BED" w:rsidRDefault="00870B7D" w:rsidP="0049470C">
            <w:pPr>
              <w:rPr>
                <w:sz w:val="20"/>
              </w:rPr>
            </w:pPr>
            <w:r w:rsidRPr="00780BED">
              <w:rPr>
                <w:sz w:val="20"/>
              </w:rPr>
              <w:t>Nombre</w:t>
            </w:r>
          </w:p>
        </w:tc>
        <w:tc>
          <w:tcPr>
            <w:tcW w:w="8080" w:type="dxa"/>
          </w:tcPr>
          <w:p w14:paraId="7E88CDAD" w14:textId="6288B9F2" w:rsidR="00870B7D" w:rsidRPr="00780BED" w:rsidRDefault="00F43F60" w:rsidP="0049470C">
            <w:pPr>
              <w:rPr>
                <w:rFonts w:ascii="Calibri" w:hAnsi="Calibri" w:cs="Calibri"/>
                <w:color w:val="000000"/>
                <w:sz w:val="20"/>
                <w:szCs w:val="20"/>
              </w:rPr>
            </w:pPr>
            <w:r>
              <w:rPr>
                <w:rFonts w:ascii="Calibri" w:hAnsi="Calibri" w:cs="Calibri"/>
                <w:color w:val="000000"/>
                <w:sz w:val="20"/>
                <w:szCs w:val="20"/>
              </w:rPr>
              <w:t>Harold Cordero Villalobos</w:t>
            </w:r>
          </w:p>
        </w:tc>
      </w:tr>
      <w:tr w:rsidR="00870B7D" w14:paraId="7CEDC585" w14:textId="77777777" w:rsidTr="00973421">
        <w:trPr>
          <w:jc w:val="center"/>
        </w:trPr>
        <w:tc>
          <w:tcPr>
            <w:tcW w:w="2127" w:type="dxa"/>
          </w:tcPr>
          <w:p w14:paraId="0C39A5DA" w14:textId="77777777" w:rsidR="00870B7D" w:rsidRPr="001F2240" w:rsidRDefault="00870B7D" w:rsidP="0049470C">
            <w:pPr>
              <w:rPr>
                <w:sz w:val="20"/>
              </w:rPr>
            </w:pPr>
            <w:r w:rsidRPr="001F2240">
              <w:rPr>
                <w:sz w:val="20"/>
              </w:rPr>
              <w:t>Año de nacimiento</w:t>
            </w:r>
          </w:p>
        </w:tc>
        <w:tc>
          <w:tcPr>
            <w:tcW w:w="8080" w:type="dxa"/>
          </w:tcPr>
          <w:p w14:paraId="1A9C657A" w14:textId="21EADEE0" w:rsidR="00870B7D" w:rsidRPr="001F2240" w:rsidRDefault="00870B7D" w:rsidP="0049470C">
            <w:pPr>
              <w:rPr>
                <w:rFonts w:ascii="Calibri" w:hAnsi="Calibri" w:cs="Calibri"/>
                <w:color w:val="000000"/>
                <w:sz w:val="20"/>
                <w:szCs w:val="20"/>
              </w:rPr>
            </w:pPr>
            <w:r w:rsidRPr="001F2240">
              <w:rPr>
                <w:rFonts w:ascii="Calibri" w:hAnsi="Calibri" w:cs="Calibri"/>
                <w:color w:val="000000"/>
                <w:sz w:val="20"/>
                <w:szCs w:val="20"/>
              </w:rPr>
              <w:t>2</w:t>
            </w:r>
            <w:r w:rsidR="00FE7E95" w:rsidRPr="001F2240">
              <w:rPr>
                <w:rFonts w:ascii="Calibri" w:hAnsi="Calibri" w:cs="Calibri"/>
                <w:color w:val="000000"/>
                <w:sz w:val="20"/>
                <w:szCs w:val="20"/>
              </w:rPr>
              <w:t>0</w:t>
            </w:r>
            <w:r w:rsidRPr="001F2240">
              <w:rPr>
                <w:rFonts w:ascii="Calibri" w:hAnsi="Calibri" w:cs="Calibri"/>
                <w:color w:val="000000"/>
                <w:sz w:val="20"/>
                <w:szCs w:val="20"/>
              </w:rPr>
              <w:t>/</w:t>
            </w:r>
            <w:r w:rsidR="00FE7E95" w:rsidRPr="001F2240">
              <w:rPr>
                <w:rFonts w:ascii="Calibri" w:hAnsi="Calibri" w:cs="Calibri"/>
                <w:color w:val="000000"/>
                <w:sz w:val="20"/>
                <w:szCs w:val="20"/>
              </w:rPr>
              <w:t>10</w:t>
            </w:r>
            <w:r w:rsidRPr="001F2240">
              <w:rPr>
                <w:rFonts w:ascii="Calibri" w:hAnsi="Calibri" w:cs="Calibri"/>
                <w:color w:val="000000"/>
                <w:sz w:val="20"/>
                <w:szCs w:val="20"/>
              </w:rPr>
              <w:t>/19</w:t>
            </w:r>
            <w:r w:rsidR="00FE7E95" w:rsidRPr="001F2240">
              <w:rPr>
                <w:rFonts w:ascii="Calibri" w:hAnsi="Calibri" w:cs="Calibri"/>
                <w:color w:val="000000"/>
                <w:sz w:val="20"/>
                <w:szCs w:val="20"/>
              </w:rPr>
              <w:t>74</w:t>
            </w:r>
          </w:p>
        </w:tc>
      </w:tr>
      <w:tr w:rsidR="00870B7D" w14:paraId="32545E80" w14:textId="77777777" w:rsidTr="00973421">
        <w:trPr>
          <w:jc w:val="center"/>
        </w:trPr>
        <w:tc>
          <w:tcPr>
            <w:tcW w:w="2127" w:type="dxa"/>
          </w:tcPr>
          <w:p w14:paraId="48BF751A" w14:textId="77777777" w:rsidR="00870B7D" w:rsidRPr="001F2240" w:rsidRDefault="00870B7D" w:rsidP="0049470C">
            <w:pPr>
              <w:rPr>
                <w:sz w:val="20"/>
              </w:rPr>
            </w:pPr>
            <w:r w:rsidRPr="001F2240">
              <w:rPr>
                <w:sz w:val="20"/>
              </w:rPr>
              <w:t>Poderes que ostenta (destacar representación legal)</w:t>
            </w:r>
          </w:p>
        </w:tc>
        <w:tc>
          <w:tcPr>
            <w:tcW w:w="8080" w:type="dxa"/>
          </w:tcPr>
          <w:p w14:paraId="73FC54F6" w14:textId="77777777" w:rsidR="00870B7D" w:rsidRPr="001F2240" w:rsidRDefault="00870B7D" w:rsidP="0049470C">
            <w:pPr>
              <w:rPr>
                <w:rFonts w:ascii="Calibri" w:hAnsi="Calibri" w:cs="Calibri"/>
                <w:color w:val="000000"/>
                <w:sz w:val="20"/>
                <w:szCs w:val="20"/>
              </w:rPr>
            </w:pPr>
            <w:r w:rsidRPr="001F2240">
              <w:rPr>
                <w:rFonts w:ascii="Calibri" w:hAnsi="Calibri" w:cs="Calibri"/>
                <w:color w:val="000000"/>
                <w:sz w:val="20"/>
                <w:szCs w:val="20"/>
              </w:rPr>
              <w:t xml:space="preserve">Apoderada Generalísima, sin límite de suma, contempladas en el artículo 1253 del Código Civil, así como la representación judicial y extrajudicial del ICE. Asimismo, la facultad de otorgar, revocar y cancelar poderes, sustituir su poder en todo o en parte, revocar sustituciones y hacer otras de nuevo, reservándose o no su ejercicio, de conformidad con lo que al respecto establece el artículo 14 de la Ley Constitutiva del ICE. </w:t>
            </w:r>
          </w:p>
        </w:tc>
      </w:tr>
      <w:tr w:rsidR="00870B7D" w14:paraId="56B72EEB" w14:textId="77777777" w:rsidTr="00973421">
        <w:trPr>
          <w:jc w:val="center"/>
        </w:trPr>
        <w:tc>
          <w:tcPr>
            <w:tcW w:w="2127" w:type="dxa"/>
          </w:tcPr>
          <w:p w14:paraId="69BA1529" w14:textId="77777777" w:rsidR="00870B7D" w:rsidRPr="001F2240" w:rsidRDefault="00870B7D" w:rsidP="0049470C">
            <w:pPr>
              <w:rPr>
                <w:sz w:val="20"/>
              </w:rPr>
            </w:pPr>
            <w:r w:rsidRPr="001F2240">
              <w:rPr>
                <w:sz w:val="20"/>
              </w:rPr>
              <w:t>Fecha de nombramiento</w:t>
            </w:r>
          </w:p>
        </w:tc>
        <w:tc>
          <w:tcPr>
            <w:tcW w:w="8080" w:type="dxa"/>
          </w:tcPr>
          <w:p w14:paraId="22CABCBC" w14:textId="420F88F8" w:rsidR="00870B7D" w:rsidRPr="001F2240" w:rsidRDefault="00870B7D" w:rsidP="0049470C">
            <w:pPr>
              <w:rPr>
                <w:rFonts w:ascii="Calibri" w:hAnsi="Calibri" w:cs="Calibri"/>
                <w:color w:val="000000"/>
                <w:sz w:val="20"/>
                <w:szCs w:val="20"/>
              </w:rPr>
            </w:pPr>
            <w:r w:rsidRPr="001F2240">
              <w:rPr>
                <w:rFonts w:ascii="Calibri" w:hAnsi="Calibri" w:cs="Calibri"/>
                <w:color w:val="000000"/>
                <w:sz w:val="20"/>
                <w:szCs w:val="20"/>
              </w:rPr>
              <w:t>2</w:t>
            </w:r>
            <w:r w:rsidR="002363C9" w:rsidRPr="001F2240">
              <w:rPr>
                <w:rFonts w:ascii="Calibri" w:hAnsi="Calibri" w:cs="Calibri"/>
                <w:color w:val="000000"/>
                <w:sz w:val="20"/>
                <w:szCs w:val="20"/>
              </w:rPr>
              <w:t>4</w:t>
            </w:r>
            <w:r w:rsidRPr="001F2240">
              <w:rPr>
                <w:rFonts w:ascii="Calibri" w:hAnsi="Calibri" w:cs="Calibri"/>
                <w:color w:val="000000"/>
                <w:sz w:val="20"/>
                <w:szCs w:val="20"/>
              </w:rPr>
              <w:t>/</w:t>
            </w:r>
            <w:r w:rsidR="002363C9" w:rsidRPr="001F2240">
              <w:rPr>
                <w:rFonts w:ascii="Calibri" w:hAnsi="Calibri" w:cs="Calibri"/>
                <w:color w:val="000000"/>
                <w:sz w:val="20"/>
                <w:szCs w:val="20"/>
              </w:rPr>
              <w:t>10</w:t>
            </w:r>
            <w:r w:rsidRPr="001F2240">
              <w:rPr>
                <w:rFonts w:ascii="Calibri" w:hAnsi="Calibri" w:cs="Calibri"/>
                <w:color w:val="000000"/>
                <w:sz w:val="20"/>
                <w:szCs w:val="20"/>
              </w:rPr>
              <w:t>/20</w:t>
            </w:r>
            <w:r w:rsidR="002363C9" w:rsidRPr="001F2240">
              <w:rPr>
                <w:rFonts w:ascii="Calibri" w:hAnsi="Calibri" w:cs="Calibri"/>
                <w:color w:val="000000"/>
                <w:sz w:val="20"/>
                <w:szCs w:val="20"/>
              </w:rPr>
              <w:t>22</w:t>
            </w:r>
          </w:p>
        </w:tc>
      </w:tr>
      <w:tr w:rsidR="00870B7D" w14:paraId="08AAEEFD" w14:textId="77777777" w:rsidTr="00973421">
        <w:trPr>
          <w:jc w:val="center"/>
        </w:trPr>
        <w:tc>
          <w:tcPr>
            <w:tcW w:w="2127" w:type="dxa"/>
          </w:tcPr>
          <w:p w14:paraId="4C8FD72B" w14:textId="77777777" w:rsidR="00870B7D" w:rsidRPr="001F2240" w:rsidRDefault="00870B7D" w:rsidP="0049470C">
            <w:pPr>
              <w:rPr>
                <w:sz w:val="20"/>
              </w:rPr>
            </w:pPr>
            <w:r w:rsidRPr="001F2240">
              <w:rPr>
                <w:sz w:val="20"/>
              </w:rPr>
              <w:t>Fecha vencimiento nombramiento</w:t>
            </w:r>
          </w:p>
        </w:tc>
        <w:tc>
          <w:tcPr>
            <w:tcW w:w="8080" w:type="dxa"/>
          </w:tcPr>
          <w:p w14:paraId="453E78BE" w14:textId="73FA6BE6" w:rsidR="00870B7D" w:rsidRPr="001F2240" w:rsidRDefault="002363C9" w:rsidP="0049470C">
            <w:pPr>
              <w:rPr>
                <w:rFonts w:ascii="Calibri" w:hAnsi="Calibri" w:cs="Calibri"/>
                <w:color w:val="000000"/>
                <w:sz w:val="20"/>
                <w:szCs w:val="20"/>
              </w:rPr>
            </w:pPr>
            <w:r w:rsidRPr="001F2240">
              <w:rPr>
                <w:rFonts w:ascii="Calibri" w:hAnsi="Calibri" w:cs="Calibri"/>
                <w:color w:val="000000"/>
                <w:sz w:val="20"/>
                <w:szCs w:val="20"/>
              </w:rPr>
              <w:t>24/10/2023</w:t>
            </w:r>
          </w:p>
        </w:tc>
      </w:tr>
      <w:tr w:rsidR="00870B7D" w14:paraId="2E8CB512" w14:textId="77777777" w:rsidTr="00973421">
        <w:trPr>
          <w:jc w:val="center"/>
        </w:trPr>
        <w:tc>
          <w:tcPr>
            <w:tcW w:w="2127" w:type="dxa"/>
          </w:tcPr>
          <w:p w14:paraId="209F0AD9" w14:textId="77777777" w:rsidR="00870B7D" w:rsidRPr="001F2240" w:rsidRDefault="00870B7D" w:rsidP="0049470C">
            <w:pPr>
              <w:rPr>
                <w:sz w:val="20"/>
              </w:rPr>
            </w:pPr>
            <w:r w:rsidRPr="001F2240">
              <w:rPr>
                <w:sz w:val="20"/>
              </w:rPr>
              <w:t>Tiempo que ha ejercido</w:t>
            </w:r>
          </w:p>
        </w:tc>
        <w:tc>
          <w:tcPr>
            <w:tcW w:w="8080" w:type="dxa"/>
          </w:tcPr>
          <w:p w14:paraId="106FDD62" w14:textId="121C512C" w:rsidR="00870B7D" w:rsidRPr="001F2240" w:rsidRDefault="001F2240" w:rsidP="0049470C">
            <w:pPr>
              <w:rPr>
                <w:rFonts w:ascii="Calibri" w:hAnsi="Calibri" w:cs="Calibri"/>
                <w:color w:val="000000"/>
                <w:sz w:val="20"/>
                <w:szCs w:val="20"/>
              </w:rPr>
            </w:pPr>
            <w:r w:rsidRPr="001F2240">
              <w:rPr>
                <w:rFonts w:ascii="Calibri" w:hAnsi="Calibri" w:cs="Calibri"/>
                <w:color w:val="000000"/>
                <w:sz w:val="20"/>
                <w:szCs w:val="20"/>
              </w:rPr>
              <w:t>7</w:t>
            </w:r>
            <w:r w:rsidR="00870B7D" w:rsidRPr="001F2240">
              <w:rPr>
                <w:rFonts w:ascii="Calibri" w:hAnsi="Calibri" w:cs="Calibri"/>
                <w:color w:val="000000"/>
                <w:sz w:val="20"/>
                <w:szCs w:val="20"/>
              </w:rPr>
              <w:t xml:space="preserve"> meses</w:t>
            </w:r>
          </w:p>
        </w:tc>
      </w:tr>
      <w:tr w:rsidR="00870B7D" w14:paraId="0B81089C" w14:textId="77777777" w:rsidTr="00973421">
        <w:trPr>
          <w:jc w:val="center"/>
        </w:trPr>
        <w:tc>
          <w:tcPr>
            <w:tcW w:w="2127" w:type="dxa"/>
          </w:tcPr>
          <w:p w14:paraId="424DCB4E" w14:textId="77777777" w:rsidR="00870B7D" w:rsidRPr="00780BED" w:rsidRDefault="00870B7D" w:rsidP="0049470C">
            <w:pPr>
              <w:rPr>
                <w:sz w:val="20"/>
              </w:rPr>
            </w:pPr>
            <w:r w:rsidRPr="00780BED">
              <w:rPr>
                <w:sz w:val="20"/>
              </w:rPr>
              <w:t>Descripción del cargo</w:t>
            </w:r>
          </w:p>
        </w:tc>
        <w:tc>
          <w:tcPr>
            <w:tcW w:w="8080" w:type="dxa"/>
          </w:tcPr>
          <w:p w14:paraId="3D7D505E" w14:textId="77777777" w:rsidR="00870B7D" w:rsidRPr="00780BED" w:rsidRDefault="00870B7D" w:rsidP="0049470C">
            <w:pPr>
              <w:rPr>
                <w:rFonts w:ascii="Calibri" w:hAnsi="Calibri" w:cs="Calibri"/>
                <w:color w:val="000000"/>
                <w:sz w:val="20"/>
                <w:szCs w:val="20"/>
              </w:rPr>
            </w:pPr>
            <w:r>
              <w:rPr>
                <w:rFonts w:ascii="Calibri" w:hAnsi="Calibri" w:cs="Calibri"/>
                <w:color w:val="000000"/>
                <w:sz w:val="20"/>
                <w:szCs w:val="20"/>
              </w:rPr>
              <w:t xml:space="preserve">Gerente General </w:t>
            </w:r>
          </w:p>
        </w:tc>
      </w:tr>
      <w:tr w:rsidR="00870B7D" w14:paraId="2C7EEADC" w14:textId="77777777" w:rsidTr="00973421">
        <w:trPr>
          <w:jc w:val="center"/>
        </w:trPr>
        <w:tc>
          <w:tcPr>
            <w:tcW w:w="2127" w:type="dxa"/>
          </w:tcPr>
          <w:p w14:paraId="7033EFB5" w14:textId="77777777" w:rsidR="00870B7D" w:rsidRPr="00780BED" w:rsidRDefault="00870B7D" w:rsidP="0049470C">
            <w:pPr>
              <w:rPr>
                <w:sz w:val="20"/>
              </w:rPr>
            </w:pPr>
            <w:r w:rsidRPr="00780BED">
              <w:rPr>
                <w:sz w:val="20"/>
              </w:rPr>
              <w:t>Funciones</w:t>
            </w:r>
          </w:p>
        </w:tc>
        <w:tc>
          <w:tcPr>
            <w:tcW w:w="8080" w:type="dxa"/>
          </w:tcPr>
          <w:p w14:paraId="137FE4F3" w14:textId="229EA0A6" w:rsidR="00870B7D" w:rsidRPr="00780BED" w:rsidRDefault="00870B7D" w:rsidP="00870B7D">
            <w:pPr>
              <w:jc w:val="left"/>
              <w:rPr>
                <w:rFonts w:ascii="Calibri" w:hAnsi="Calibri" w:cs="Calibri"/>
                <w:color w:val="000000"/>
                <w:sz w:val="20"/>
                <w:szCs w:val="20"/>
              </w:rPr>
            </w:pPr>
            <w:r>
              <w:rPr>
                <w:rFonts w:ascii="Calibri" w:hAnsi="Calibri" w:cs="Calibri"/>
                <w:color w:val="000000"/>
                <w:sz w:val="20"/>
                <w:szCs w:val="20"/>
              </w:rPr>
              <w:t>Dependencia con relación jerárquica directa a la Presidencia Ejecutiva. Es la</w:t>
            </w:r>
            <w:r w:rsidR="002E5281">
              <w:rPr>
                <w:rFonts w:ascii="Calibri" w:hAnsi="Calibri" w:cs="Calibri"/>
                <w:color w:val="000000"/>
                <w:sz w:val="20"/>
                <w:szCs w:val="20"/>
              </w:rPr>
              <w:t xml:space="preserve"> persona</w:t>
            </w:r>
            <w:r>
              <w:rPr>
                <w:rFonts w:ascii="Calibri" w:hAnsi="Calibri" w:cs="Calibri"/>
                <w:color w:val="000000"/>
                <w:sz w:val="20"/>
                <w:szCs w:val="20"/>
              </w:rPr>
              <w:t xml:space="preserve"> responsable de la administración general del ICE, de conformidad a lo referido en la Ley N° 449, y las instrucciones que le imparta el Consejo Directivo, así c</w:t>
            </w:r>
            <w:r w:rsidR="00FF15F6">
              <w:rPr>
                <w:rFonts w:ascii="Calibri" w:hAnsi="Calibri" w:cs="Calibri"/>
                <w:color w:val="000000"/>
                <w:sz w:val="20"/>
                <w:szCs w:val="20"/>
              </w:rPr>
              <w:t>omo la Presidencia Ejecutiva. E</w:t>
            </w:r>
            <w:r>
              <w:rPr>
                <w:rFonts w:ascii="Calibri" w:hAnsi="Calibri" w:cs="Calibri"/>
                <w:color w:val="000000"/>
                <w:sz w:val="20"/>
                <w:szCs w:val="20"/>
              </w:rPr>
              <w:t xml:space="preserve">jercerá las competencias estipuladas en el artículo 14 de la Ley 449. </w:t>
            </w:r>
            <w:r>
              <w:rPr>
                <w:rFonts w:ascii="Calibri" w:hAnsi="Calibri" w:cs="Calibri"/>
                <w:color w:val="000000"/>
                <w:sz w:val="20"/>
                <w:szCs w:val="20"/>
              </w:rPr>
              <w:br/>
              <w:t xml:space="preserve">Las funciones del Gerente General serán las de "Administrador general de acuerdo con los propósitos de esta ley y con las instrucciones que le imparta el Consejo Directivo. </w:t>
            </w:r>
            <w:r>
              <w:rPr>
                <w:rFonts w:ascii="Calibri" w:hAnsi="Calibri" w:cs="Calibri"/>
                <w:color w:val="000000"/>
                <w:sz w:val="20"/>
                <w:szCs w:val="20"/>
              </w:rPr>
              <w:br/>
              <w:t xml:space="preserve">Deberá formular el plan de organización interna y funcional del Instituto, lo mismo que los programas de trabajo, para presentarlos a la consideración del Consejo, y dirigir la ejecución de los mismos. Acordará la creación de nuevas plazas y designará el personal y lo removerá, el cual se regirá por un escalafón que deberá ser aprobado por el Consejo.  Tratándose del nombramiento o remoción de los jefes de los departamentos generales del Instituto, según la organización que se apruebe, el Gerente someterá sus actuaciones a la consideración del Consejo. Formulará los presupuestos anuales de sueldos y gastos de funcionamiento, los cuales necesitarán la aprobación del Consejo y de la Oficina Nacional de Presupuesto. Los presupuestos de inversiones para los fines de esta ley, necesitarán tan sólo la aprobación del Consejo. El Gerente General tendrá la representación legal y extrajudicial del Instituto." </w:t>
            </w:r>
            <w:r>
              <w:rPr>
                <w:rFonts w:ascii="Calibri" w:hAnsi="Calibri" w:cs="Calibri"/>
                <w:color w:val="000000"/>
                <w:sz w:val="20"/>
                <w:szCs w:val="20"/>
              </w:rPr>
              <w:br/>
              <w:t xml:space="preserve"> </w:t>
            </w:r>
          </w:p>
        </w:tc>
      </w:tr>
      <w:tr w:rsidR="00870B7D" w14:paraId="002CE9B8" w14:textId="77777777" w:rsidTr="00973421">
        <w:trPr>
          <w:jc w:val="center"/>
        </w:trPr>
        <w:tc>
          <w:tcPr>
            <w:tcW w:w="2127" w:type="dxa"/>
          </w:tcPr>
          <w:p w14:paraId="1C04D6B0" w14:textId="20C4421B" w:rsidR="00870B7D" w:rsidRPr="00780BED" w:rsidRDefault="007C7A8A" w:rsidP="0049470C">
            <w:pPr>
              <w:rPr>
                <w:sz w:val="20"/>
              </w:rPr>
            </w:pPr>
            <w:r>
              <w:rPr>
                <w:sz w:val="20"/>
              </w:rPr>
              <w:t>E</w:t>
            </w:r>
            <w:r w:rsidRPr="00780BED">
              <w:rPr>
                <w:sz w:val="20"/>
              </w:rPr>
              <w:t>xperiencia en el área de trabajo</w:t>
            </w:r>
          </w:p>
        </w:tc>
        <w:tc>
          <w:tcPr>
            <w:tcW w:w="8080" w:type="dxa"/>
          </w:tcPr>
          <w:p w14:paraId="00ACCC79" w14:textId="17FD037A" w:rsidR="00870B7D" w:rsidRPr="00780BED" w:rsidRDefault="00915EEE" w:rsidP="0049470C">
            <w:pPr>
              <w:rPr>
                <w:rFonts w:ascii="Calibri" w:hAnsi="Calibri" w:cs="Calibri"/>
                <w:color w:val="000000"/>
                <w:sz w:val="20"/>
                <w:szCs w:val="20"/>
              </w:rPr>
            </w:pPr>
            <w:r w:rsidRPr="00915EEE">
              <w:rPr>
                <w:rFonts w:ascii="Calibri" w:hAnsi="Calibri" w:cs="Calibri"/>
                <w:color w:val="000000"/>
                <w:sz w:val="20"/>
                <w:szCs w:val="20"/>
              </w:rPr>
              <w:t>Licenciado en Ingeniería Industrial de la Universidad de Costa Rica. Máster en Administración de Empresas con énfasis en Finanzas del Instituto Tecnológico de Costa Rica. Posee una especialización en Gestión de Habilidades Directivas de la Universidad de California, una certificación como ALARYS International Risk Manager (AIRM) y un Diplomado en Gobernabilidad e Innovación Pública del Banco de Desarrollo de América Latina. Se ha desempeñado en distintas instituciones públicas como el Ministerio de Obras Públicas y Transportes, el Instituto Costarricense de Electricidad y el Grupo INS. En su carrera administrativa de más de 20 años ha fungido como miembro de órganos colegiados, coordinador, director y jefe de División teniendo a cargo responsabilidades en temas como estrategia, planificación y control, mejoramiento de la gestión, innovación, desarrollo de negocios y finanzas</w:t>
            </w:r>
            <w:r>
              <w:rPr>
                <w:rFonts w:ascii="Calibri" w:hAnsi="Calibri" w:cs="Calibri"/>
                <w:color w:val="000000"/>
                <w:sz w:val="20"/>
                <w:szCs w:val="20"/>
              </w:rPr>
              <w:t>.</w:t>
            </w:r>
          </w:p>
        </w:tc>
      </w:tr>
      <w:tr w:rsidR="00870B7D" w14:paraId="19071D41" w14:textId="77777777" w:rsidTr="00973421">
        <w:trPr>
          <w:jc w:val="center"/>
        </w:trPr>
        <w:tc>
          <w:tcPr>
            <w:tcW w:w="2127" w:type="dxa"/>
          </w:tcPr>
          <w:p w14:paraId="560EEE51" w14:textId="77777777" w:rsidR="00870B7D" w:rsidRPr="00780BED" w:rsidRDefault="00870B7D" w:rsidP="0049470C">
            <w:pPr>
              <w:rPr>
                <w:sz w:val="20"/>
              </w:rPr>
            </w:pPr>
            <w:r w:rsidRPr="00780BED">
              <w:rPr>
                <w:sz w:val="20"/>
              </w:rPr>
              <w:t>Relaciones de parentesco hasta segundo grado con miembros del Consejo Directivo</w:t>
            </w:r>
          </w:p>
        </w:tc>
        <w:tc>
          <w:tcPr>
            <w:tcW w:w="8080" w:type="dxa"/>
          </w:tcPr>
          <w:p w14:paraId="15D980CA" w14:textId="77777777" w:rsidR="00870B7D" w:rsidRDefault="00870B7D" w:rsidP="0049470C">
            <w:pPr>
              <w:jc w:val="left"/>
              <w:rPr>
                <w:rFonts w:ascii="Calibri" w:hAnsi="Calibri" w:cs="Calibri"/>
                <w:color w:val="000000"/>
                <w:sz w:val="20"/>
                <w:szCs w:val="20"/>
              </w:rPr>
            </w:pPr>
            <w:r>
              <w:rPr>
                <w:rFonts w:ascii="Calibri" w:hAnsi="Calibri" w:cs="Calibri"/>
                <w:color w:val="000000"/>
                <w:sz w:val="20"/>
                <w:szCs w:val="20"/>
              </w:rPr>
              <w:t>N/A</w:t>
            </w:r>
          </w:p>
          <w:p w14:paraId="542E8DEA" w14:textId="77777777" w:rsidR="00870B7D" w:rsidRDefault="00870B7D" w:rsidP="0049470C"/>
        </w:tc>
      </w:tr>
      <w:tr w:rsidR="00870B7D" w14:paraId="66EAD962" w14:textId="77777777" w:rsidTr="00973421">
        <w:trPr>
          <w:jc w:val="center"/>
        </w:trPr>
        <w:tc>
          <w:tcPr>
            <w:tcW w:w="2127" w:type="dxa"/>
          </w:tcPr>
          <w:p w14:paraId="40FA18E3" w14:textId="77777777" w:rsidR="00870B7D" w:rsidRPr="00780BED" w:rsidRDefault="00870B7D" w:rsidP="0049470C">
            <w:pPr>
              <w:rPr>
                <w:sz w:val="20"/>
              </w:rPr>
            </w:pPr>
            <w:r w:rsidRPr="00780BED">
              <w:rPr>
                <w:sz w:val="20"/>
              </w:rPr>
              <w:t>Relaciones de parentesco hasta segundo grado con miembros del Consejo Directivo</w:t>
            </w:r>
          </w:p>
        </w:tc>
        <w:tc>
          <w:tcPr>
            <w:tcW w:w="8080" w:type="dxa"/>
          </w:tcPr>
          <w:p w14:paraId="559980E0" w14:textId="77777777" w:rsidR="00870B7D" w:rsidRDefault="00870B7D" w:rsidP="0049470C">
            <w:pPr>
              <w:jc w:val="left"/>
              <w:rPr>
                <w:rFonts w:ascii="Calibri" w:hAnsi="Calibri" w:cs="Calibri"/>
                <w:color w:val="000000"/>
                <w:sz w:val="20"/>
                <w:szCs w:val="20"/>
              </w:rPr>
            </w:pPr>
            <w:r>
              <w:rPr>
                <w:rFonts w:ascii="Calibri" w:hAnsi="Calibri" w:cs="Calibri"/>
                <w:color w:val="000000"/>
                <w:sz w:val="20"/>
                <w:szCs w:val="20"/>
              </w:rPr>
              <w:t>N/A</w:t>
            </w:r>
          </w:p>
          <w:p w14:paraId="7CF1E4FE" w14:textId="77777777" w:rsidR="00870B7D" w:rsidRDefault="00870B7D" w:rsidP="0049470C"/>
        </w:tc>
      </w:tr>
    </w:tbl>
    <w:p w14:paraId="5AA28135" w14:textId="77777777" w:rsidR="00834529" w:rsidRDefault="00834529" w:rsidP="00A65F5F">
      <w:pPr>
        <w:ind w:left="-540" w:right="-25"/>
      </w:pPr>
    </w:p>
    <w:p w14:paraId="2743AAB8" w14:textId="74906EF9" w:rsidR="002E16D5" w:rsidRDefault="002E16D5" w:rsidP="00A65F5F">
      <w:pPr>
        <w:ind w:left="-540" w:right="-25"/>
      </w:pPr>
    </w:p>
    <w:p w14:paraId="6C15B313" w14:textId="4EAD3690" w:rsidR="007C7A8A" w:rsidRDefault="007C7A8A" w:rsidP="00A65F5F">
      <w:pPr>
        <w:ind w:left="-540" w:right="-25"/>
      </w:pPr>
    </w:p>
    <w:tbl>
      <w:tblPr>
        <w:tblStyle w:val="Tablaconcuadrcula"/>
        <w:tblW w:w="10207" w:type="dxa"/>
        <w:jc w:val="center"/>
        <w:tblLook w:val="04A0" w:firstRow="1" w:lastRow="0" w:firstColumn="1" w:lastColumn="0" w:noHBand="0" w:noVBand="1"/>
      </w:tblPr>
      <w:tblGrid>
        <w:gridCol w:w="2127"/>
        <w:gridCol w:w="8080"/>
      </w:tblGrid>
      <w:tr w:rsidR="007C7A8A" w:rsidRPr="00780BED" w14:paraId="29F9A1D0" w14:textId="77777777" w:rsidTr="00973421">
        <w:trPr>
          <w:jc w:val="center"/>
        </w:trPr>
        <w:tc>
          <w:tcPr>
            <w:tcW w:w="2127" w:type="dxa"/>
          </w:tcPr>
          <w:p w14:paraId="1A174C41" w14:textId="77777777" w:rsidR="007C7A8A" w:rsidRPr="00780BED" w:rsidRDefault="007C7A8A" w:rsidP="00651C81">
            <w:pPr>
              <w:rPr>
                <w:sz w:val="20"/>
              </w:rPr>
            </w:pPr>
            <w:r w:rsidRPr="00780BED">
              <w:rPr>
                <w:sz w:val="20"/>
              </w:rPr>
              <w:t>Nombre</w:t>
            </w:r>
          </w:p>
        </w:tc>
        <w:tc>
          <w:tcPr>
            <w:tcW w:w="8080" w:type="dxa"/>
          </w:tcPr>
          <w:p w14:paraId="0AD50A52" w14:textId="495DA462" w:rsidR="007C7A8A" w:rsidRPr="00780BED" w:rsidRDefault="00927D9A" w:rsidP="00651C81">
            <w:pPr>
              <w:rPr>
                <w:rFonts w:ascii="Calibri" w:hAnsi="Calibri" w:cs="Calibri"/>
                <w:color w:val="000000"/>
                <w:sz w:val="20"/>
                <w:szCs w:val="20"/>
              </w:rPr>
            </w:pPr>
            <w:r>
              <w:rPr>
                <w:rFonts w:ascii="Calibri" w:hAnsi="Calibri" w:cs="Calibri"/>
                <w:color w:val="000000"/>
                <w:sz w:val="20"/>
                <w:szCs w:val="20"/>
              </w:rPr>
              <w:t>Roberto Quirós Balma</w:t>
            </w:r>
          </w:p>
        </w:tc>
      </w:tr>
      <w:tr w:rsidR="007C7A8A" w:rsidRPr="00780BED" w14:paraId="11A91ED3" w14:textId="77777777" w:rsidTr="00973421">
        <w:trPr>
          <w:jc w:val="center"/>
        </w:trPr>
        <w:tc>
          <w:tcPr>
            <w:tcW w:w="2127" w:type="dxa"/>
          </w:tcPr>
          <w:p w14:paraId="68C180FA" w14:textId="77777777" w:rsidR="007C7A8A" w:rsidRPr="00DB7584" w:rsidRDefault="007C7A8A" w:rsidP="00651C81">
            <w:pPr>
              <w:rPr>
                <w:sz w:val="20"/>
              </w:rPr>
            </w:pPr>
            <w:r w:rsidRPr="00DB7584">
              <w:rPr>
                <w:sz w:val="20"/>
              </w:rPr>
              <w:t>Año de nacimiento</w:t>
            </w:r>
          </w:p>
        </w:tc>
        <w:tc>
          <w:tcPr>
            <w:tcW w:w="8080" w:type="dxa"/>
          </w:tcPr>
          <w:p w14:paraId="627DDD8C" w14:textId="0C128881" w:rsidR="007C7A8A" w:rsidRPr="00DB7584" w:rsidRDefault="007C7A8A" w:rsidP="007C7A8A">
            <w:pPr>
              <w:rPr>
                <w:rFonts w:ascii="Calibri" w:hAnsi="Calibri" w:cs="Calibri"/>
                <w:color w:val="000000"/>
                <w:sz w:val="20"/>
                <w:szCs w:val="20"/>
              </w:rPr>
            </w:pPr>
            <w:r w:rsidRPr="00DB7584">
              <w:rPr>
                <w:rFonts w:ascii="Calibri" w:hAnsi="Calibri" w:cs="Calibri"/>
                <w:color w:val="000000"/>
                <w:sz w:val="20"/>
                <w:szCs w:val="20"/>
              </w:rPr>
              <w:t>30/</w:t>
            </w:r>
            <w:r w:rsidR="006F2F51" w:rsidRPr="00DB7584">
              <w:rPr>
                <w:rFonts w:ascii="Calibri" w:hAnsi="Calibri" w:cs="Calibri"/>
                <w:color w:val="000000"/>
                <w:sz w:val="20"/>
                <w:szCs w:val="20"/>
              </w:rPr>
              <w:t>08</w:t>
            </w:r>
            <w:r w:rsidRPr="00DB7584">
              <w:rPr>
                <w:rFonts w:ascii="Calibri" w:hAnsi="Calibri" w:cs="Calibri"/>
                <w:color w:val="000000"/>
                <w:sz w:val="20"/>
                <w:szCs w:val="20"/>
              </w:rPr>
              <w:t>/19</w:t>
            </w:r>
            <w:r w:rsidR="006F2F51" w:rsidRPr="00DB7584">
              <w:rPr>
                <w:rFonts w:ascii="Calibri" w:hAnsi="Calibri" w:cs="Calibri"/>
                <w:color w:val="000000"/>
                <w:sz w:val="20"/>
                <w:szCs w:val="20"/>
              </w:rPr>
              <w:t>77</w:t>
            </w:r>
          </w:p>
        </w:tc>
      </w:tr>
      <w:tr w:rsidR="007C7A8A" w:rsidRPr="00780BED" w14:paraId="5DB05B23" w14:textId="77777777" w:rsidTr="00973421">
        <w:trPr>
          <w:jc w:val="center"/>
        </w:trPr>
        <w:tc>
          <w:tcPr>
            <w:tcW w:w="2127" w:type="dxa"/>
          </w:tcPr>
          <w:p w14:paraId="20104BC3" w14:textId="77777777" w:rsidR="007C7A8A" w:rsidRPr="00DB7584" w:rsidRDefault="007C7A8A" w:rsidP="00651C81">
            <w:pPr>
              <w:rPr>
                <w:sz w:val="20"/>
              </w:rPr>
            </w:pPr>
            <w:r w:rsidRPr="00DB7584">
              <w:rPr>
                <w:sz w:val="20"/>
              </w:rPr>
              <w:t>Poderes que ostenta (destacar representación legal)</w:t>
            </w:r>
          </w:p>
        </w:tc>
        <w:tc>
          <w:tcPr>
            <w:tcW w:w="8080" w:type="dxa"/>
          </w:tcPr>
          <w:p w14:paraId="2C3739C7" w14:textId="77777777" w:rsidR="007C7A8A" w:rsidRPr="00DB7584" w:rsidRDefault="007C7A8A" w:rsidP="00651C81">
            <w:pPr>
              <w:rPr>
                <w:rFonts w:ascii="Calibri" w:hAnsi="Calibri" w:cs="Calibri"/>
                <w:color w:val="000000"/>
                <w:sz w:val="20"/>
                <w:szCs w:val="20"/>
              </w:rPr>
            </w:pPr>
            <w:r w:rsidRPr="00DB7584">
              <w:rPr>
                <w:rFonts w:ascii="Calibri" w:hAnsi="Calibri" w:cs="Calibri"/>
                <w:color w:val="000000"/>
                <w:sz w:val="20"/>
                <w:szCs w:val="20"/>
              </w:rPr>
              <w:t>Apoderado Generalísimo sin límite de suma</w:t>
            </w:r>
          </w:p>
        </w:tc>
      </w:tr>
      <w:tr w:rsidR="007C7A8A" w:rsidRPr="00780BED" w14:paraId="15AEA10C" w14:textId="77777777" w:rsidTr="00973421">
        <w:trPr>
          <w:jc w:val="center"/>
        </w:trPr>
        <w:tc>
          <w:tcPr>
            <w:tcW w:w="2127" w:type="dxa"/>
          </w:tcPr>
          <w:p w14:paraId="51A5315E" w14:textId="77777777" w:rsidR="007C7A8A" w:rsidRPr="00DB7584" w:rsidRDefault="007C7A8A" w:rsidP="00651C81">
            <w:pPr>
              <w:rPr>
                <w:sz w:val="20"/>
              </w:rPr>
            </w:pPr>
            <w:r w:rsidRPr="00DB7584">
              <w:rPr>
                <w:sz w:val="20"/>
              </w:rPr>
              <w:t>Fecha de nombramiento</w:t>
            </w:r>
          </w:p>
        </w:tc>
        <w:tc>
          <w:tcPr>
            <w:tcW w:w="8080" w:type="dxa"/>
          </w:tcPr>
          <w:p w14:paraId="4963D351" w14:textId="3A819324" w:rsidR="007C7A8A" w:rsidRPr="00DB7584" w:rsidRDefault="00DB7584" w:rsidP="007C7A8A">
            <w:pPr>
              <w:rPr>
                <w:rFonts w:ascii="Calibri" w:hAnsi="Calibri" w:cs="Calibri"/>
                <w:color w:val="000000"/>
                <w:sz w:val="20"/>
                <w:szCs w:val="20"/>
              </w:rPr>
            </w:pPr>
            <w:r w:rsidRPr="00DB7584">
              <w:rPr>
                <w:rFonts w:ascii="Calibri" w:hAnsi="Calibri" w:cs="Calibri"/>
                <w:color w:val="000000"/>
                <w:sz w:val="20"/>
                <w:szCs w:val="20"/>
              </w:rPr>
              <w:t>27</w:t>
            </w:r>
            <w:r w:rsidR="007C7A8A" w:rsidRPr="00DB7584">
              <w:rPr>
                <w:rFonts w:ascii="Calibri" w:hAnsi="Calibri" w:cs="Calibri"/>
                <w:color w:val="000000"/>
                <w:sz w:val="20"/>
                <w:szCs w:val="20"/>
              </w:rPr>
              <w:t>/</w:t>
            </w:r>
            <w:r w:rsidRPr="00DB7584">
              <w:rPr>
                <w:rFonts w:ascii="Calibri" w:hAnsi="Calibri" w:cs="Calibri"/>
                <w:color w:val="000000"/>
                <w:sz w:val="20"/>
                <w:szCs w:val="20"/>
              </w:rPr>
              <w:t>07</w:t>
            </w:r>
            <w:r w:rsidR="007C7A8A" w:rsidRPr="00DB7584">
              <w:rPr>
                <w:rFonts w:ascii="Calibri" w:hAnsi="Calibri" w:cs="Calibri"/>
                <w:color w:val="000000"/>
                <w:sz w:val="20"/>
                <w:szCs w:val="20"/>
              </w:rPr>
              <w:t>/202</w:t>
            </w:r>
            <w:r w:rsidRPr="00DB7584">
              <w:rPr>
                <w:rFonts w:ascii="Calibri" w:hAnsi="Calibri" w:cs="Calibri"/>
                <w:color w:val="000000"/>
                <w:sz w:val="20"/>
                <w:szCs w:val="20"/>
              </w:rPr>
              <w:t>2</w:t>
            </w:r>
          </w:p>
        </w:tc>
      </w:tr>
      <w:tr w:rsidR="007C7A8A" w:rsidRPr="00780BED" w14:paraId="39261836" w14:textId="77777777" w:rsidTr="00973421">
        <w:trPr>
          <w:jc w:val="center"/>
        </w:trPr>
        <w:tc>
          <w:tcPr>
            <w:tcW w:w="2127" w:type="dxa"/>
          </w:tcPr>
          <w:p w14:paraId="6764FBEF" w14:textId="77777777" w:rsidR="007C7A8A" w:rsidRPr="00DB7584" w:rsidRDefault="007C7A8A" w:rsidP="00651C81">
            <w:pPr>
              <w:rPr>
                <w:sz w:val="20"/>
              </w:rPr>
            </w:pPr>
            <w:r w:rsidRPr="00DB7584">
              <w:rPr>
                <w:sz w:val="20"/>
              </w:rPr>
              <w:t>Fecha vencimiento nombramiento</w:t>
            </w:r>
          </w:p>
        </w:tc>
        <w:tc>
          <w:tcPr>
            <w:tcW w:w="8080" w:type="dxa"/>
          </w:tcPr>
          <w:p w14:paraId="2821F0F8" w14:textId="7E7EC505" w:rsidR="007C7A8A" w:rsidRPr="00DB7584" w:rsidRDefault="007C7A8A" w:rsidP="00651C81">
            <w:pPr>
              <w:rPr>
                <w:rFonts w:ascii="Calibri" w:hAnsi="Calibri" w:cs="Calibri"/>
                <w:color w:val="000000"/>
                <w:sz w:val="20"/>
                <w:szCs w:val="20"/>
              </w:rPr>
            </w:pPr>
            <w:r w:rsidRPr="00DB7584">
              <w:rPr>
                <w:rFonts w:ascii="Calibri" w:hAnsi="Calibri" w:cs="Calibri"/>
                <w:color w:val="000000"/>
                <w:sz w:val="20"/>
                <w:szCs w:val="20"/>
              </w:rPr>
              <w:t>Según plazo de ley</w:t>
            </w:r>
          </w:p>
        </w:tc>
      </w:tr>
      <w:tr w:rsidR="007C7A8A" w14:paraId="0A300C40" w14:textId="77777777" w:rsidTr="00973421">
        <w:trPr>
          <w:jc w:val="center"/>
        </w:trPr>
        <w:tc>
          <w:tcPr>
            <w:tcW w:w="2127" w:type="dxa"/>
          </w:tcPr>
          <w:p w14:paraId="057B995A" w14:textId="77777777" w:rsidR="007C7A8A" w:rsidRPr="00DB7584" w:rsidRDefault="007C7A8A" w:rsidP="00651C81">
            <w:pPr>
              <w:rPr>
                <w:sz w:val="20"/>
              </w:rPr>
            </w:pPr>
            <w:r w:rsidRPr="00DB7584">
              <w:rPr>
                <w:sz w:val="20"/>
              </w:rPr>
              <w:t>Tiempo que ha ejercido</w:t>
            </w:r>
          </w:p>
        </w:tc>
        <w:tc>
          <w:tcPr>
            <w:tcW w:w="8080" w:type="dxa"/>
          </w:tcPr>
          <w:p w14:paraId="71B6BAFA" w14:textId="65EE7460" w:rsidR="007C7A8A" w:rsidRPr="00DB7584" w:rsidRDefault="00DB7584" w:rsidP="00651C81">
            <w:pPr>
              <w:rPr>
                <w:rFonts w:asciiTheme="minorHAnsi" w:hAnsiTheme="minorHAnsi" w:cstheme="minorHAnsi"/>
                <w:sz w:val="20"/>
              </w:rPr>
            </w:pPr>
            <w:r w:rsidRPr="00DB7584">
              <w:rPr>
                <w:rFonts w:asciiTheme="minorHAnsi" w:hAnsiTheme="minorHAnsi" w:cstheme="minorHAnsi"/>
                <w:sz w:val="20"/>
              </w:rPr>
              <w:t>10</w:t>
            </w:r>
            <w:r w:rsidR="007C7A8A" w:rsidRPr="00DB7584">
              <w:rPr>
                <w:rFonts w:asciiTheme="minorHAnsi" w:hAnsiTheme="minorHAnsi" w:cstheme="minorHAnsi"/>
                <w:sz w:val="20"/>
              </w:rPr>
              <w:t xml:space="preserve"> meses</w:t>
            </w:r>
          </w:p>
        </w:tc>
      </w:tr>
      <w:tr w:rsidR="007C7A8A" w14:paraId="327A655E" w14:textId="77777777" w:rsidTr="00973421">
        <w:trPr>
          <w:jc w:val="center"/>
        </w:trPr>
        <w:tc>
          <w:tcPr>
            <w:tcW w:w="2127" w:type="dxa"/>
          </w:tcPr>
          <w:p w14:paraId="70529770" w14:textId="77777777" w:rsidR="007C7A8A" w:rsidRPr="00780BED" w:rsidRDefault="007C7A8A" w:rsidP="00651C81">
            <w:pPr>
              <w:rPr>
                <w:sz w:val="20"/>
              </w:rPr>
            </w:pPr>
            <w:r w:rsidRPr="00780BED">
              <w:rPr>
                <w:sz w:val="20"/>
              </w:rPr>
              <w:t>Director en otras sociedades</w:t>
            </w:r>
          </w:p>
        </w:tc>
        <w:tc>
          <w:tcPr>
            <w:tcW w:w="8080" w:type="dxa"/>
          </w:tcPr>
          <w:p w14:paraId="2B8899A0" w14:textId="77777777" w:rsidR="007C7A8A" w:rsidRPr="007C7A8A" w:rsidRDefault="007C7A8A" w:rsidP="00651C81">
            <w:pPr>
              <w:rPr>
                <w:rFonts w:asciiTheme="minorHAnsi" w:hAnsiTheme="minorHAnsi" w:cstheme="minorHAnsi"/>
                <w:sz w:val="20"/>
              </w:rPr>
            </w:pPr>
            <w:r w:rsidRPr="007C7A8A">
              <w:rPr>
                <w:rFonts w:asciiTheme="minorHAnsi" w:hAnsiTheme="minorHAnsi" w:cstheme="minorHAnsi"/>
                <w:sz w:val="20"/>
              </w:rPr>
              <w:t>No</w:t>
            </w:r>
          </w:p>
        </w:tc>
      </w:tr>
      <w:tr w:rsidR="007C7A8A" w:rsidRPr="00780BED" w14:paraId="6DD836B0" w14:textId="77777777" w:rsidTr="00973421">
        <w:trPr>
          <w:jc w:val="center"/>
        </w:trPr>
        <w:tc>
          <w:tcPr>
            <w:tcW w:w="2127" w:type="dxa"/>
          </w:tcPr>
          <w:p w14:paraId="1C8FA39D" w14:textId="77777777" w:rsidR="007C7A8A" w:rsidRPr="00780BED" w:rsidRDefault="007C7A8A" w:rsidP="00651C81">
            <w:pPr>
              <w:rPr>
                <w:sz w:val="20"/>
              </w:rPr>
            </w:pPr>
            <w:r w:rsidRPr="00780BED">
              <w:rPr>
                <w:sz w:val="20"/>
              </w:rPr>
              <w:t>Descripción del cargo</w:t>
            </w:r>
          </w:p>
        </w:tc>
        <w:tc>
          <w:tcPr>
            <w:tcW w:w="8080" w:type="dxa"/>
          </w:tcPr>
          <w:p w14:paraId="4D84770E" w14:textId="348D2CD6" w:rsidR="007C7A8A" w:rsidRPr="00780BED" w:rsidRDefault="007C7A8A" w:rsidP="00651C81">
            <w:pPr>
              <w:rPr>
                <w:rFonts w:ascii="Calibri" w:hAnsi="Calibri" w:cs="Calibri"/>
                <w:color w:val="000000"/>
                <w:sz w:val="20"/>
                <w:szCs w:val="20"/>
              </w:rPr>
            </w:pPr>
            <w:r>
              <w:rPr>
                <w:rFonts w:ascii="Calibri" w:hAnsi="Calibri" w:cs="Calibri"/>
                <w:color w:val="000000"/>
                <w:sz w:val="20"/>
                <w:szCs w:val="20"/>
              </w:rPr>
              <w:t xml:space="preserve">Gerente de </w:t>
            </w:r>
            <w:r w:rsidR="001B6C30">
              <w:rPr>
                <w:rFonts w:ascii="Calibri" w:hAnsi="Calibri" w:cs="Calibri"/>
                <w:color w:val="000000"/>
                <w:sz w:val="20"/>
                <w:szCs w:val="20"/>
              </w:rPr>
              <w:t>Electricidad</w:t>
            </w:r>
          </w:p>
        </w:tc>
      </w:tr>
      <w:tr w:rsidR="007C7A8A" w:rsidRPr="00780BED" w14:paraId="5781D0D3" w14:textId="77777777" w:rsidTr="00973421">
        <w:trPr>
          <w:jc w:val="center"/>
        </w:trPr>
        <w:tc>
          <w:tcPr>
            <w:tcW w:w="2127" w:type="dxa"/>
          </w:tcPr>
          <w:p w14:paraId="1AB6FFA4" w14:textId="77777777" w:rsidR="007C7A8A" w:rsidRPr="00780BED" w:rsidRDefault="007C7A8A" w:rsidP="00651C81">
            <w:pPr>
              <w:rPr>
                <w:sz w:val="20"/>
              </w:rPr>
            </w:pPr>
            <w:r w:rsidRPr="00780BED">
              <w:rPr>
                <w:sz w:val="20"/>
              </w:rPr>
              <w:t>Funciones</w:t>
            </w:r>
          </w:p>
        </w:tc>
        <w:tc>
          <w:tcPr>
            <w:tcW w:w="8080" w:type="dxa"/>
          </w:tcPr>
          <w:p w14:paraId="7979FA3C" w14:textId="1CBB88F5" w:rsidR="007C7A8A" w:rsidRPr="00780BED" w:rsidRDefault="00FC1E3A" w:rsidP="00651C81">
            <w:pPr>
              <w:rPr>
                <w:rFonts w:ascii="Calibri" w:hAnsi="Calibri" w:cs="Calibri"/>
                <w:color w:val="000000"/>
                <w:sz w:val="20"/>
                <w:szCs w:val="20"/>
              </w:rPr>
            </w:pPr>
            <w:r w:rsidRPr="00B90186">
              <w:rPr>
                <w:rFonts w:ascii="Calibri" w:hAnsi="Calibri" w:cs="Calibri"/>
                <w:color w:val="000000"/>
                <w:sz w:val="20"/>
                <w:szCs w:val="20"/>
              </w:rPr>
              <w:t xml:space="preserve">A cargo de </w:t>
            </w:r>
            <w:r w:rsidRPr="00777546">
              <w:rPr>
                <w:rFonts w:ascii="Calibri" w:hAnsi="Calibri" w:cs="Calibri"/>
                <w:color w:val="000000"/>
                <w:sz w:val="20"/>
                <w:szCs w:val="20"/>
              </w:rPr>
              <w:t>la conducción estratégic</w:t>
            </w:r>
            <w:r>
              <w:rPr>
                <w:rFonts w:ascii="Calibri" w:hAnsi="Calibri" w:cs="Calibri"/>
                <w:color w:val="000000"/>
                <w:sz w:val="20"/>
                <w:szCs w:val="20"/>
              </w:rPr>
              <w:t>a del negocio electricidad</w:t>
            </w:r>
            <w:r w:rsidRPr="00777546">
              <w:rPr>
                <w:rFonts w:ascii="Calibri" w:hAnsi="Calibri" w:cs="Calibri"/>
                <w:color w:val="000000"/>
                <w:sz w:val="20"/>
                <w:szCs w:val="20"/>
              </w:rPr>
              <w:t xml:space="preserve"> a nivel institucional</w:t>
            </w:r>
          </w:p>
        </w:tc>
      </w:tr>
      <w:tr w:rsidR="007C7A8A" w:rsidRPr="00780BED" w14:paraId="670A919C" w14:textId="77777777" w:rsidTr="00973421">
        <w:trPr>
          <w:jc w:val="center"/>
        </w:trPr>
        <w:tc>
          <w:tcPr>
            <w:tcW w:w="2127" w:type="dxa"/>
          </w:tcPr>
          <w:p w14:paraId="2A350067" w14:textId="77777777" w:rsidR="007C7A8A" w:rsidRPr="00780BED" w:rsidRDefault="007C7A8A" w:rsidP="00651C81">
            <w:pPr>
              <w:rPr>
                <w:sz w:val="20"/>
              </w:rPr>
            </w:pPr>
            <w:r>
              <w:rPr>
                <w:sz w:val="20"/>
              </w:rPr>
              <w:t>E</w:t>
            </w:r>
            <w:r w:rsidRPr="00780BED">
              <w:rPr>
                <w:sz w:val="20"/>
              </w:rPr>
              <w:t>xperiencia en el área de trabajo</w:t>
            </w:r>
          </w:p>
        </w:tc>
        <w:tc>
          <w:tcPr>
            <w:tcW w:w="8080" w:type="dxa"/>
          </w:tcPr>
          <w:p w14:paraId="4E5D2969" w14:textId="0F93CFCE" w:rsidR="007C7A8A" w:rsidRPr="00780BED" w:rsidRDefault="00933BBD" w:rsidP="00651C81">
            <w:pPr>
              <w:rPr>
                <w:rFonts w:ascii="Calibri" w:hAnsi="Calibri" w:cs="Calibri"/>
                <w:color w:val="000000"/>
                <w:sz w:val="20"/>
                <w:szCs w:val="20"/>
              </w:rPr>
            </w:pPr>
            <w:r w:rsidRPr="00933BBD">
              <w:rPr>
                <w:rFonts w:ascii="Calibri" w:hAnsi="Calibri" w:cs="Calibri"/>
                <w:color w:val="000000"/>
                <w:sz w:val="20"/>
                <w:szCs w:val="20"/>
              </w:rPr>
              <w:t>Máster en Administración de Empresas con énfasis en Dirección Empresarial. Tiene más de 22 años de experiencia trabajando en mercados mayoristas de electricidad a nivel nacional e internacional. Durante su trayectoria en el Grupo ICE, ha sido Asesor de Presidencia Ejecutiva, Gerencia de Electricidad y de la División Generación, además fue Coordinador del Programa de Movilidad Eléctrica así como Ejecutivo de Comercialización de Energía y Operador de Mercado en el Centro Nacional de Control de Electricidad (CENCE). Participó en la implementación del Operador de Mercado de Costa Rica. Además, cuenta con estudios en Regulación de Mercados Eléctricos del Instituto Tecnológico de Morelia en México, Mercados Energéticos de la Universidad Nacional de Colombia en Medellín – OLADE y Energía y Cambio Climático de la Universidad para la Paz.</w:t>
            </w:r>
          </w:p>
        </w:tc>
      </w:tr>
      <w:tr w:rsidR="007C7A8A" w14:paraId="469C2BDE" w14:textId="77777777" w:rsidTr="00973421">
        <w:trPr>
          <w:jc w:val="center"/>
        </w:trPr>
        <w:tc>
          <w:tcPr>
            <w:tcW w:w="2127" w:type="dxa"/>
          </w:tcPr>
          <w:p w14:paraId="1B81002A" w14:textId="77777777" w:rsidR="007C7A8A" w:rsidRPr="00780BED" w:rsidRDefault="007C7A8A" w:rsidP="00651C81">
            <w:pPr>
              <w:rPr>
                <w:sz w:val="20"/>
              </w:rPr>
            </w:pPr>
            <w:r w:rsidRPr="00780BED">
              <w:rPr>
                <w:sz w:val="20"/>
              </w:rPr>
              <w:t>Relaciones de parentesco hasta segundo grado con miembros del Consejo Directivo</w:t>
            </w:r>
          </w:p>
        </w:tc>
        <w:tc>
          <w:tcPr>
            <w:tcW w:w="8080" w:type="dxa"/>
          </w:tcPr>
          <w:p w14:paraId="3EF013B7" w14:textId="77777777" w:rsidR="007C7A8A" w:rsidRDefault="007C7A8A" w:rsidP="00651C81">
            <w:pPr>
              <w:jc w:val="left"/>
              <w:rPr>
                <w:rFonts w:ascii="Calibri" w:hAnsi="Calibri" w:cs="Calibri"/>
                <w:color w:val="000000"/>
                <w:sz w:val="20"/>
                <w:szCs w:val="20"/>
              </w:rPr>
            </w:pPr>
            <w:r>
              <w:rPr>
                <w:rFonts w:ascii="Calibri" w:hAnsi="Calibri" w:cs="Calibri"/>
                <w:color w:val="000000"/>
                <w:sz w:val="20"/>
                <w:szCs w:val="20"/>
              </w:rPr>
              <w:t>N/A</w:t>
            </w:r>
          </w:p>
          <w:p w14:paraId="1B311FC3" w14:textId="77777777" w:rsidR="007C7A8A" w:rsidRDefault="007C7A8A" w:rsidP="00651C81"/>
        </w:tc>
      </w:tr>
    </w:tbl>
    <w:p w14:paraId="66130C26" w14:textId="656EDAE2" w:rsidR="007C7A8A" w:rsidRDefault="007C7A8A" w:rsidP="00A65F5F">
      <w:pPr>
        <w:ind w:left="-540" w:right="-25"/>
      </w:pPr>
    </w:p>
    <w:p w14:paraId="68CFE9F0" w14:textId="77777777" w:rsidR="007C7A8A" w:rsidRDefault="007C7A8A" w:rsidP="00A65F5F">
      <w:pPr>
        <w:ind w:left="-540" w:right="-25"/>
      </w:pPr>
    </w:p>
    <w:p w14:paraId="69F90DDD" w14:textId="77777777" w:rsidR="006C1066" w:rsidRDefault="006C1066" w:rsidP="00A453A1">
      <w:pPr>
        <w:ind w:right="-25"/>
      </w:pPr>
    </w:p>
    <w:tbl>
      <w:tblPr>
        <w:tblStyle w:val="Tablaconcuadrcula"/>
        <w:tblW w:w="10207" w:type="dxa"/>
        <w:jc w:val="center"/>
        <w:tblLook w:val="04A0" w:firstRow="1" w:lastRow="0" w:firstColumn="1" w:lastColumn="0" w:noHBand="0" w:noVBand="1"/>
      </w:tblPr>
      <w:tblGrid>
        <w:gridCol w:w="2127"/>
        <w:gridCol w:w="8080"/>
      </w:tblGrid>
      <w:tr w:rsidR="00A453A1" w14:paraId="1E2FA435" w14:textId="77777777" w:rsidTr="00973421">
        <w:trPr>
          <w:jc w:val="center"/>
        </w:trPr>
        <w:tc>
          <w:tcPr>
            <w:tcW w:w="2127" w:type="dxa"/>
          </w:tcPr>
          <w:p w14:paraId="1295B9E5" w14:textId="77777777" w:rsidR="00A453A1" w:rsidRPr="00780BED" w:rsidRDefault="00A453A1" w:rsidP="0049470C">
            <w:pPr>
              <w:rPr>
                <w:sz w:val="20"/>
              </w:rPr>
            </w:pPr>
            <w:r w:rsidRPr="00780BED">
              <w:rPr>
                <w:sz w:val="20"/>
              </w:rPr>
              <w:t>Nombre</w:t>
            </w:r>
          </w:p>
        </w:tc>
        <w:tc>
          <w:tcPr>
            <w:tcW w:w="8080" w:type="dxa"/>
          </w:tcPr>
          <w:p w14:paraId="15093B2B" w14:textId="56307587" w:rsidR="00A453A1" w:rsidRPr="00AC74F3" w:rsidRDefault="00933BBD" w:rsidP="0049470C">
            <w:pPr>
              <w:rPr>
                <w:rFonts w:ascii="Calibri" w:hAnsi="Calibri" w:cs="Calibri"/>
                <w:color w:val="000000"/>
                <w:sz w:val="20"/>
                <w:szCs w:val="20"/>
              </w:rPr>
            </w:pPr>
            <w:r w:rsidRPr="00AC74F3">
              <w:rPr>
                <w:rFonts w:ascii="Calibri" w:hAnsi="Calibri" w:cs="Calibri"/>
                <w:color w:val="000000"/>
                <w:sz w:val="20"/>
                <w:szCs w:val="20"/>
              </w:rPr>
              <w:t>Melvin Monge Sandí</w:t>
            </w:r>
          </w:p>
        </w:tc>
      </w:tr>
      <w:tr w:rsidR="00A453A1" w14:paraId="1A8103B0" w14:textId="77777777" w:rsidTr="00973421">
        <w:trPr>
          <w:jc w:val="center"/>
        </w:trPr>
        <w:tc>
          <w:tcPr>
            <w:tcW w:w="2127" w:type="dxa"/>
          </w:tcPr>
          <w:p w14:paraId="24BB58F3" w14:textId="77777777" w:rsidR="00A453A1" w:rsidRPr="00780BED" w:rsidRDefault="00A453A1" w:rsidP="0049470C">
            <w:pPr>
              <w:rPr>
                <w:sz w:val="20"/>
              </w:rPr>
            </w:pPr>
            <w:r w:rsidRPr="00780BED">
              <w:rPr>
                <w:sz w:val="20"/>
              </w:rPr>
              <w:t>Año de nacimiento</w:t>
            </w:r>
          </w:p>
        </w:tc>
        <w:tc>
          <w:tcPr>
            <w:tcW w:w="8080" w:type="dxa"/>
          </w:tcPr>
          <w:p w14:paraId="425037FF" w14:textId="320A5DB5" w:rsidR="00A453A1" w:rsidRPr="00AC74F3" w:rsidRDefault="00A453A1" w:rsidP="0049470C">
            <w:pPr>
              <w:rPr>
                <w:rFonts w:ascii="Calibri" w:hAnsi="Calibri" w:cs="Calibri"/>
                <w:color w:val="000000"/>
                <w:sz w:val="20"/>
                <w:szCs w:val="20"/>
              </w:rPr>
            </w:pPr>
            <w:r w:rsidRPr="00AC74F3">
              <w:rPr>
                <w:rFonts w:ascii="Calibri" w:hAnsi="Calibri" w:cs="Calibri"/>
                <w:color w:val="000000"/>
                <w:sz w:val="20"/>
                <w:szCs w:val="20"/>
              </w:rPr>
              <w:t>2</w:t>
            </w:r>
            <w:r w:rsidR="003A6F7F" w:rsidRPr="00AC74F3">
              <w:rPr>
                <w:rFonts w:ascii="Calibri" w:hAnsi="Calibri" w:cs="Calibri"/>
                <w:color w:val="000000"/>
                <w:sz w:val="20"/>
                <w:szCs w:val="20"/>
              </w:rPr>
              <w:t>1</w:t>
            </w:r>
            <w:r w:rsidRPr="00AC74F3">
              <w:rPr>
                <w:rFonts w:ascii="Calibri" w:hAnsi="Calibri" w:cs="Calibri"/>
                <w:color w:val="000000"/>
                <w:sz w:val="20"/>
                <w:szCs w:val="20"/>
              </w:rPr>
              <w:t>/</w:t>
            </w:r>
            <w:r w:rsidR="003A6F7F" w:rsidRPr="00AC74F3">
              <w:rPr>
                <w:rFonts w:ascii="Calibri" w:hAnsi="Calibri" w:cs="Calibri"/>
                <w:color w:val="000000"/>
                <w:sz w:val="20"/>
                <w:szCs w:val="20"/>
              </w:rPr>
              <w:t>10</w:t>
            </w:r>
            <w:r w:rsidRPr="00AC74F3">
              <w:rPr>
                <w:rFonts w:ascii="Calibri" w:hAnsi="Calibri" w:cs="Calibri"/>
                <w:color w:val="000000"/>
                <w:sz w:val="20"/>
                <w:szCs w:val="20"/>
              </w:rPr>
              <w:t>/19</w:t>
            </w:r>
            <w:r w:rsidR="003A6F7F" w:rsidRPr="00AC74F3">
              <w:rPr>
                <w:rFonts w:ascii="Calibri" w:hAnsi="Calibri" w:cs="Calibri"/>
                <w:color w:val="000000"/>
                <w:sz w:val="20"/>
                <w:szCs w:val="20"/>
              </w:rPr>
              <w:t>66</w:t>
            </w:r>
          </w:p>
        </w:tc>
      </w:tr>
      <w:tr w:rsidR="00A453A1" w14:paraId="02372FE6" w14:textId="77777777" w:rsidTr="00973421">
        <w:trPr>
          <w:jc w:val="center"/>
        </w:trPr>
        <w:tc>
          <w:tcPr>
            <w:tcW w:w="2127" w:type="dxa"/>
          </w:tcPr>
          <w:p w14:paraId="62772671" w14:textId="77777777" w:rsidR="00A453A1" w:rsidRPr="00780BED" w:rsidRDefault="00A453A1" w:rsidP="0049470C">
            <w:pPr>
              <w:rPr>
                <w:sz w:val="20"/>
              </w:rPr>
            </w:pPr>
            <w:r w:rsidRPr="00780BED">
              <w:rPr>
                <w:sz w:val="20"/>
              </w:rPr>
              <w:t>Poderes que ostenta (destacar representación legal)</w:t>
            </w:r>
          </w:p>
        </w:tc>
        <w:tc>
          <w:tcPr>
            <w:tcW w:w="8080" w:type="dxa"/>
          </w:tcPr>
          <w:p w14:paraId="100A9D0A" w14:textId="77777777" w:rsidR="00A453A1" w:rsidRPr="00AC74F3" w:rsidRDefault="00A453A1" w:rsidP="0049470C">
            <w:pPr>
              <w:rPr>
                <w:rFonts w:ascii="Calibri" w:hAnsi="Calibri" w:cs="Calibri"/>
                <w:color w:val="000000"/>
                <w:sz w:val="20"/>
                <w:szCs w:val="20"/>
              </w:rPr>
            </w:pPr>
            <w:r w:rsidRPr="00AC74F3">
              <w:rPr>
                <w:rFonts w:ascii="Calibri" w:hAnsi="Calibri" w:cs="Calibri"/>
                <w:color w:val="000000"/>
                <w:sz w:val="20"/>
                <w:szCs w:val="20"/>
              </w:rPr>
              <w:t>Apoderada Generalísima sin límite de suma, como representante judicial y extrajudicial del ICE</w:t>
            </w:r>
          </w:p>
        </w:tc>
      </w:tr>
      <w:tr w:rsidR="00A453A1" w14:paraId="49B44E19" w14:textId="77777777" w:rsidTr="00973421">
        <w:trPr>
          <w:jc w:val="center"/>
        </w:trPr>
        <w:tc>
          <w:tcPr>
            <w:tcW w:w="2127" w:type="dxa"/>
          </w:tcPr>
          <w:p w14:paraId="1A3544ED" w14:textId="77777777" w:rsidR="00A453A1" w:rsidRPr="00780BED" w:rsidRDefault="00A453A1" w:rsidP="0049470C">
            <w:pPr>
              <w:rPr>
                <w:sz w:val="20"/>
              </w:rPr>
            </w:pPr>
            <w:r w:rsidRPr="00780BED">
              <w:rPr>
                <w:sz w:val="20"/>
              </w:rPr>
              <w:t>Fecha de nombramiento</w:t>
            </w:r>
          </w:p>
        </w:tc>
        <w:tc>
          <w:tcPr>
            <w:tcW w:w="8080" w:type="dxa"/>
          </w:tcPr>
          <w:p w14:paraId="08A1FEB0" w14:textId="1F060A2A" w:rsidR="00A453A1" w:rsidRPr="00AC74F3" w:rsidRDefault="0015008B" w:rsidP="0049470C">
            <w:pPr>
              <w:rPr>
                <w:rFonts w:ascii="Calibri" w:hAnsi="Calibri" w:cs="Calibri"/>
                <w:color w:val="000000"/>
                <w:sz w:val="20"/>
                <w:szCs w:val="20"/>
              </w:rPr>
            </w:pPr>
            <w:r w:rsidRPr="00AC74F3">
              <w:rPr>
                <w:rFonts w:ascii="Calibri" w:hAnsi="Calibri" w:cs="Calibri"/>
                <w:color w:val="000000"/>
                <w:sz w:val="20"/>
                <w:szCs w:val="20"/>
              </w:rPr>
              <w:t>01</w:t>
            </w:r>
            <w:r w:rsidR="00A453A1" w:rsidRPr="00AC74F3">
              <w:rPr>
                <w:rFonts w:ascii="Calibri" w:hAnsi="Calibri" w:cs="Calibri"/>
                <w:color w:val="000000"/>
                <w:sz w:val="20"/>
                <w:szCs w:val="20"/>
              </w:rPr>
              <w:t>/</w:t>
            </w:r>
            <w:r w:rsidRPr="00AC74F3">
              <w:rPr>
                <w:rFonts w:ascii="Calibri" w:hAnsi="Calibri" w:cs="Calibri"/>
                <w:color w:val="000000"/>
                <w:sz w:val="20"/>
                <w:szCs w:val="20"/>
              </w:rPr>
              <w:t>07</w:t>
            </w:r>
            <w:r w:rsidR="00A453A1" w:rsidRPr="00AC74F3">
              <w:rPr>
                <w:rFonts w:ascii="Calibri" w:hAnsi="Calibri" w:cs="Calibri"/>
                <w:color w:val="000000"/>
                <w:sz w:val="20"/>
                <w:szCs w:val="20"/>
              </w:rPr>
              <w:t>/20</w:t>
            </w:r>
            <w:r w:rsidRPr="00AC74F3">
              <w:rPr>
                <w:rFonts w:ascii="Calibri" w:hAnsi="Calibri" w:cs="Calibri"/>
                <w:color w:val="000000"/>
                <w:sz w:val="20"/>
                <w:szCs w:val="20"/>
              </w:rPr>
              <w:t>22</w:t>
            </w:r>
          </w:p>
        </w:tc>
      </w:tr>
      <w:tr w:rsidR="00A453A1" w14:paraId="64E87C0D" w14:textId="77777777" w:rsidTr="00973421">
        <w:trPr>
          <w:jc w:val="center"/>
        </w:trPr>
        <w:tc>
          <w:tcPr>
            <w:tcW w:w="2127" w:type="dxa"/>
          </w:tcPr>
          <w:p w14:paraId="2524FCB6" w14:textId="77777777" w:rsidR="00A453A1" w:rsidRPr="00780BED" w:rsidRDefault="00A453A1" w:rsidP="0049470C">
            <w:pPr>
              <w:rPr>
                <w:sz w:val="20"/>
              </w:rPr>
            </w:pPr>
            <w:r w:rsidRPr="00780BED">
              <w:rPr>
                <w:sz w:val="20"/>
              </w:rPr>
              <w:t>Fecha vencimiento nombramiento</w:t>
            </w:r>
          </w:p>
        </w:tc>
        <w:tc>
          <w:tcPr>
            <w:tcW w:w="8080" w:type="dxa"/>
          </w:tcPr>
          <w:p w14:paraId="16FF8D9D" w14:textId="39F29574" w:rsidR="00A453A1" w:rsidRPr="00AC74F3" w:rsidRDefault="00AC74F3" w:rsidP="0049470C">
            <w:pPr>
              <w:rPr>
                <w:rFonts w:ascii="Calibri" w:hAnsi="Calibri" w:cs="Calibri"/>
                <w:color w:val="000000"/>
                <w:sz w:val="20"/>
                <w:szCs w:val="20"/>
              </w:rPr>
            </w:pPr>
            <w:r w:rsidRPr="00AC74F3">
              <w:rPr>
                <w:rFonts w:ascii="Calibri" w:hAnsi="Calibri" w:cs="Calibri"/>
                <w:color w:val="000000"/>
                <w:sz w:val="20"/>
                <w:szCs w:val="20"/>
              </w:rPr>
              <w:t>Según plazo de ley</w:t>
            </w:r>
          </w:p>
        </w:tc>
      </w:tr>
      <w:tr w:rsidR="00A453A1" w14:paraId="39EA8C46" w14:textId="77777777" w:rsidTr="00973421">
        <w:trPr>
          <w:jc w:val="center"/>
        </w:trPr>
        <w:tc>
          <w:tcPr>
            <w:tcW w:w="2127" w:type="dxa"/>
          </w:tcPr>
          <w:p w14:paraId="45EBEB85" w14:textId="77777777" w:rsidR="00A453A1" w:rsidRPr="00384590" w:rsidRDefault="00A453A1" w:rsidP="0049470C">
            <w:pPr>
              <w:rPr>
                <w:sz w:val="20"/>
              </w:rPr>
            </w:pPr>
            <w:r w:rsidRPr="00384590">
              <w:rPr>
                <w:sz w:val="20"/>
              </w:rPr>
              <w:t>Tiempo que ha ejercido</w:t>
            </w:r>
          </w:p>
        </w:tc>
        <w:tc>
          <w:tcPr>
            <w:tcW w:w="8080" w:type="dxa"/>
          </w:tcPr>
          <w:p w14:paraId="06B71D45" w14:textId="2CB1F51B" w:rsidR="00A453A1" w:rsidRPr="00384590" w:rsidRDefault="007C7A8A" w:rsidP="0049470C">
            <w:pPr>
              <w:rPr>
                <w:rFonts w:ascii="Calibri" w:hAnsi="Calibri" w:cs="Calibri"/>
                <w:color w:val="000000"/>
                <w:sz w:val="20"/>
                <w:szCs w:val="20"/>
              </w:rPr>
            </w:pPr>
            <w:r w:rsidRPr="00384590">
              <w:rPr>
                <w:rFonts w:ascii="Calibri" w:hAnsi="Calibri" w:cs="Calibri"/>
                <w:color w:val="000000"/>
                <w:sz w:val="20"/>
                <w:szCs w:val="20"/>
              </w:rPr>
              <w:t>1</w:t>
            </w:r>
            <w:r w:rsidR="00AC74F3" w:rsidRPr="00384590">
              <w:rPr>
                <w:rFonts w:ascii="Calibri" w:hAnsi="Calibri" w:cs="Calibri"/>
                <w:color w:val="000000"/>
                <w:sz w:val="20"/>
                <w:szCs w:val="20"/>
              </w:rPr>
              <w:t>0</w:t>
            </w:r>
            <w:r w:rsidR="00A453A1" w:rsidRPr="00384590">
              <w:rPr>
                <w:rFonts w:ascii="Calibri" w:hAnsi="Calibri" w:cs="Calibri"/>
                <w:color w:val="000000"/>
                <w:sz w:val="20"/>
                <w:szCs w:val="20"/>
              </w:rPr>
              <w:t xml:space="preserve"> meses</w:t>
            </w:r>
          </w:p>
        </w:tc>
      </w:tr>
      <w:tr w:rsidR="00A453A1" w14:paraId="1AAD51A6" w14:textId="77777777" w:rsidTr="00973421">
        <w:trPr>
          <w:jc w:val="center"/>
        </w:trPr>
        <w:tc>
          <w:tcPr>
            <w:tcW w:w="2127" w:type="dxa"/>
          </w:tcPr>
          <w:p w14:paraId="761439B6" w14:textId="77777777" w:rsidR="00A453A1" w:rsidRPr="00780BED" w:rsidRDefault="00A453A1" w:rsidP="0049470C">
            <w:pPr>
              <w:rPr>
                <w:sz w:val="20"/>
              </w:rPr>
            </w:pPr>
            <w:r w:rsidRPr="00780BED">
              <w:rPr>
                <w:sz w:val="20"/>
              </w:rPr>
              <w:t>Director en otras sociedades</w:t>
            </w:r>
          </w:p>
        </w:tc>
        <w:tc>
          <w:tcPr>
            <w:tcW w:w="8080" w:type="dxa"/>
          </w:tcPr>
          <w:p w14:paraId="00F6E49F" w14:textId="77777777" w:rsidR="00A453A1" w:rsidRPr="00AC74F3" w:rsidRDefault="00A453A1" w:rsidP="0049470C">
            <w:pPr>
              <w:rPr>
                <w:rFonts w:ascii="Calibri" w:hAnsi="Calibri" w:cs="Calibri"/>
                <w:color w:val="000000"/>
                <w:sz w:val="20"/>
                <w:szCs w:val="20"/>
              </w:rPr>
            </w:pPr>
            <w:r w:rsidRPr="00AC74F3">
              <w:rPr>
                <w:rFonts w:ascii="Calibri" w:hAnsi="Calibri" w:cs="Calibri"/>
                <w:color w:val="000000"/>
                <w:sz w:val="20"/>
                <w:szCs w:val="20"/>
              </w:rPr>
              <w:t>No</w:t>
            </w:r>
          </w:p>
        </w:tc>
      </w:tr>
      <w:tr w:rsidR="00A453A1" w14:paraId="35AFCDFD" w14:textId="77777777" w:rsidTr="00973421">
        <w:trPr>
          <w:jc w:val="center"/>
        </w:trPr>
        <w:tc>
          <w:tcPr>
            <w:tcW w:w="2127" w:type="dxa"/>
          </w:tcPr>
          <w:p w14:paraId="06221564" w14:textId="77777777" w:rsidR="00A453A1" w:rsidRPr="00780BED" w:rsidRDefault="00A453A1" w:rsidP="0049470C">
            <w:pPr>
              <w:rPr>
                <w:sz w:val="20"/>
              </w:rPr>
            </w:pPr>
            <w:r w:rsidRPr="00780BED">
              <w:rPr>
                <w:sz w:val="20"/>
              </w:rPr>
              <w:t>Descripción del cargo</w:t>
            </w:r>
          </w:p>
        </w:tc>
        <w:tc>
          <w:tcPr>
            <w:tcW w:w="8080" w:type="dxa"/>
          </w:tcPr>
          <w:p w14:paraId="649B5243" w14:textId="38DB0C17" w:rsidR="00A453A1" w:rsidRPr="00780BED" w:rsidRDefault="00A453A1" w:rsidP="0049470C">
            <w:pPr>
              <w:rPr>
                <w:rFonts w:ascii="Calibri" w:hAnsi="Calibri" w:cs="Calibri"/>
                <w:color w:val="000000"/>
                <w:sz w:val="20"/>
                <w:szCs w:val="20"/>
              </w:rPr>
            </w:pPr>
            <w:r>
              <w:rPr>
                <w:rFonts w:ascii="Calibri" w:hAnsi="Calibri" w:cs="Calibri"/>
                <w:color w:val="000000"/>
                <w:sz w:val="20"/>
                <w:szCs w:val="20"/>
              </w:rPr>
              <w:t xml:space="preserve">Gerente </w:t>
            </w:r>
            <w:r w:rsidR="00544454">
              <w:rPr>
                <w:rFonts w:ascii="Calibri" w:hAnsi="Calibri" w:cs="Calibri"/>
                <w:color w:val="000000"/>
                <w:sz w:val="20"/>
                <w:szCs w:val="20"/>
              </w:rPr>
              <w:t>de Servicios y Recursos Empresariales</w:t>
            </w:r>
          </w:p>
        </w:tc>
      </w:tr>
      <w:tr w:rsidR="00A453A1" w14:paraId="0CA4FC4B" w14:textId="77777777" w:rsidTr="00973421">
        <w:trPr>
          <w:jc w:val="center"/>
        </w:trPr>
        <w:tc>
          <w:tcPr>
            <w:tcW w:w="2127" w:type="dxa"/>
          </w:tcPr>
          <w:p w14:paraId="347E2573" w14:textId="77777777" w:rsidR="00A453A1" w:rsidRPr="00780BED" w:rsidRDefault="00A453A1" w:rsidP="0049470C">
            <w:pPr>
              <w:rPr>
                <w:sz w:val="20"/>
              </w:rPr>
            </w:pPr>
            <w:r w:rsidRPr="00780BED">
              <w:rPr>
                <w:sz w:val="20"/>
              </w:rPr>
              <w:t>Funciones</w:t>
            </w:r>
          </w:p>
        </w:tc>
        <w:tc>
          <w:tcPr>
            <w:tcW w:w="8080" w:type="dxa"/>
          </w:tcPr>
          <w:p w14:paraId="666F6BA4" w14:textId="070F8BF4" w:rsidR="00A453A1" w:rsidRPr="00101562" w:rsidRDefault="00A453A1" w:rsidP="0049470C">
            <w:pPr>
              <w:rPr>
                <w:rFonts w:ascii="Calibri" w:hAnsi="Calibri" w:cs="Calibri"/>
                <w:color w:val="000000"/>
                <w:sz w:val="20"/>
                <w:szCs w:val="20"/>
              </w:rPr>
            </w:pPr>
            <w:r w:rsidRPr="00101562">
              <w:rPr>
                <w:rFonts w:ascii="Calibri" w:hAnsi="Calibri" w:cs="Calibri"/>
                <w:color w:val="000000"/>
                <w:sz w:val="20"/>
                <w:szCs w:val="20"/>
              </w:rPr>
              <w:t xml:space="preserve">La Gerencia de </w:t>
            </w:r>
            <w:r w:rsidR="00544454">
              <w:rPr>
                <w:rFonts w:ascii="Calibri" w:hAnsi="Calibri" w:cs="Calibri"/>
                <w:color w:val="000000"/>
                <w:sz w:val="20"/>
                <w:szCs w:val="20"/>
              </w:rPr>
              <w:t>Servicios y Recursos Empresariales</w:t>
            </w:r>
            <w:r w:rsidRPr="00101562">
              <w:rPr>
                <w:rFonts w:ascii="Calibri" w:hAnsi="Calibri" w:cs="Calibri"/>
                <w:color w:val="000000"/>
                <w:sz w:val="20"/>
                <w:szCs w:val="20"/>
              </w:rPr>
              <w:t xml:space="preserve"> </w:t>
            </w:r>
            <w:r>
              <w:rPr>
                <w:rFonts w:ascii="Calibri" w:hAnsi="Calibri" w:cs="Calibri"/>
                <w:color w:val="000000"/>
                <w:sz w:val="20"/>
                <w:szCs w:val="20"/>
              </w:rPr>
              <w:t>e</w:t>
            </w:r>
            <w:r w:rsidRPr="00101562">
              <w:rPr>
                <w:rFonts w:ascii="Calibri" w:hAnsi="Calibri" w:cs="Calibri"/>
                <w:color w:val="000000"/>
                <w:sz w:val="20"/>
                <w:szCs w:val="20"/>
              </w:rPr>
              <w:t>jercerá roles y funciones a nivel institucional, siendo que, el diseño organizacional del ámbito institucional se enfoca entre otros aspectos a: Fortalecer la toma de decisiones y el seguimiento y control, Optimizar los procesos de cadena de abastecimiento y operaciones, la racionalidad en el uso de los recursos, las competencias y el fortalecimiento del capital humano, l</w:t>
            </w:r>
            <w:r>
              <w:rPr>
                <w:rFonts w:ascii="Calibri" w:hAnsi="Calibri" w:cs="Calibri"/>
                <w:color w:val="000000"/>
                <w:sz w:val="20"/>
                <w:szCs w:val="20"/>
              </w:rPr>
              <w:t>a eficiencia y eficacia en el ma</w:t>
            </w:r>
            <w:r w:rsidRPr="00101562">
              <w:rPr>
                <w:rFonts w:ascii="Calibri" w:hAnsi="Calibri" w:cs="Calibri"/>
                <w:color w:val="000000"/>
                <w:sz w:val="20"/>
                <w:szCs w:val="20"/>
              </w:rPr>
              <w:t>nejo de los costos entre otros.</w:t>
            </w:r>
          </w:p>
          <w:p w14:paraId="5B815BA0" w14:textId="77777777" w:rsidR="00A453A1" w:rsidRPr="00780BED" w:rsidRDefault="00A453A1" w:rsidP="0049470C">
            <w:pPr>
              <w:rPr>
                <w:rFonts w:ascii="Calibri" w:hAnsi="Calibri" w:cs="Calibri"/>
                <w:color w:val="000000"/>
                <w:sz w:val="20"/>
                <w:szCs w:val="20"/>
              </w:rPr>
            </w:pPr>
            <w:r>
              <w:rPr>
                <w:rFonts w:ascii="Calibri" w:hAnsi="Calibri" w:cs="Calibri"/>
                <w:color w:val="000000"/>
                <w:sz w:val="20"/>
                <w:szCs w:val="20"/>
              </w:rPr>
              <w:br/>
              <w:t xml:space="preserve"> </w:t>
            </w:r>
          </w:p>
        </w:tc>
      </w:tr>
      <w:tr w:rsidR="00A453A1" w14:paraId="670D86F5" w14:textId="77777777" w:rsidTr="00973421">
        <w:trPr>
          <w:jc w:val="center"/>
        </w:trPr>
        <w:tc>
          <w:tcPr>
            <w:tcW w:w="2127" w:type="dxa"/>
          </w:tcPr>
          <w:p w14:paraId="306F83B1" w14:textId="32819AF1" w:rsidR="00A453A1" w:rsidRPr="00780BED" w:rsidRDefault="007C7A8A" w:rsidP="0049470C">
            <w:pPr>
              <w:rPr>
                <w:sz w:val="20"/>
              </w:rPr>
            </w:pPr>
            <w:r>
              <w:rPr>
                <w:sz w:val="20"/>
              </w:rPr>
              <w:t>E</w:t>
            </w:r>
            <w:r w:rsidRPr="00780BED">
              <w:rPr>
                <w:sz w:val="20"/>
              </w:rPr>
              <w:t>xperiencia en el área de trabajo</w:t>
            </w:r>
          </w:p>
        </w:tc>
        <w:tc>
          <w:tcPr>
            <w:tcW w:w="8080" w:type="dxa"/>
          </w:tcPr>
          <w:p w14:paraId="411BEADA" w14:textId="2D461B70" w:rsidR="00A453A1" w:rsidRPr="00780BED" w:rsidRDefault="00487C9E" w:rsidP="0049470C">
            <w:pPr>
              <w:rPr>
                <w:rFonts w:ascii="Calibri" w:hAnsi="Calibri" w:cs="Calibri"/>
                <w:color w:val="000000"/>
                <w:sz w:val="20"/>
                <w:szCs w:val="20"/>
              </w:rPr>
            </w:pPr>
            <w:r w:rsidRPr="00487C9E">
              <w:rPr>
                <w:rFonts w:ascii="Calibri" w:hAnsi="Calibri" w:cs="Calibri"/>
                <w:color w:val="000000"/>
                <w:sz w:val="20"/>
                <w:szCs w:val="20"/>
              </w:rPr>
              <w:t>Licenciado en Ingeniería Mecánica por la Universidad de Costa Rica. Máster en administración de negocios de la Universidad de las Ciencias y las Artes de Costa Rica, Diplomado en Gerencia del INCAE. Además, cuenta con una amplia experiencia como docente en el Instituto Tecnológico de Costa Rica en las carreras de Ingeniería en Construcción e Ingeniería electromecánica. Ingresó al ICE en 1994. Ha coordinado diversos equipos de trabajo relacionados con alta tensión, subestaciones, transporte de electricidad y generación. Recientemente ocupó la jefatura de la División de Generación de la Gerencia de Electricidad y brindó soporte a la División de Transmisión en la Gestión Operativa.</w:t>
            </w:r>
          </w:p>
        </w:tc>
      </w:tr>
      <w:tr w:rsidR="00A453A1" w14:paraId="6AB354AD" w14:textId="77777777" w:rsidTr="00973421">
        <w:trPr>
          <w:jc w:val="center"/>
        </w:trPr>
        <w:tc>
          <w:tcPr>
            <w:tcW w:w="2127" w:type="dxa"/>
          </w:tcPr>
          <w:p w14:paraId="0CFF5613" w14:textId="77777777" w:rsidR="00A453A1" w:rsidRPr="00780BED" w:rsidRDefault="00A453A1" w:rsidP="0049470C">
            <w:pPr>
              <w:rPr>
                <w:sz w:val="20"/>
              </w:rPr>
            </w:pPr>
            <w:r w:rsidRPr="00780BED">
              <w:rPr>
                <w:sz w:val="20"/>
              </w:rPr>
              <w:t>Relaciones de parentesco hasta segundo grado con miembros del Consejo Directivo</w:t>
            </w:r>
          </w:p>
        </w:tc>
        <w:tc>
          <w:tcPr>
            <w:tcW w:w="8080" w:type="dxa"/>
          </w:tcPr>
          <w:p w14:paraId="3A95CE0D" w14:textId="77777777" w:rsidR="00A453A1" w:rsidRDefault="00A453A1" w:rsidP="0049470C">
            <w:pPr>
              <w:jc w:val="left"/>
              <w:rPr>
                <w:rFonts w:ascii="Calibri" w:hAnsi="Calibri" w:cs="Calibri"/>
                <w:color w:val="000000"/>
                <w:sz w:val="20"/>
                <w:szCs w:val="20"/>
              </w:rPr>
            </w:pPr>
            <w:r>
              <w:rPr>
                <w:rFonts w:ascii="Calibri" w:hAnsi="Calibri" w:cs="Calibri"/>
                <w:color w:val="000000"/>
                <w:sz w:val="20"/>
                <w:szCs w:val="20"/>
              </w:rPr>
              <w:t>N/A</w:t>
            </w:r>
          </w:p>
          <w:p w14:paraId="200E9693" w14:textId="77777777" w:rsidR="00A453A1" w:rsidRDefault="00A453A1" w:rsidP="0049470C"/>
        </w:tc>
      </w:tr>
    </w:tbl>
    <w:p w14:paraId="7CC4516D" w14:textId="7BAACDB0" w:rsidR="006C1066" w:rsidRDefault="006C1066" w:rsidP="00A65F5F">
      <w:pPr>
        <w:ind w:left="-540" w:right="-25"/>
      </w:pPr>
    </w:p>
    <w:p w14:paraId="62A1CB5A" w14:textId="0C9EB3F4" w:rsidR="00923094" w:rsidRDefault="00923094" w:rsidP="00A65F5F">
      <w:pPr>
        <w:ind w:left="-540" w:right="-25"/>
      </w:pPr>
    </w:p>
    <w:p w14:paraId="3F6A4007" w14:textId="77777777" w:rsidR="00923094" w:rsidRDefault="00923094" w:rsidP="00A65F5F">
      <w:pPr>
        <w:ind w:left="-540" w:right="-25"/>
      </w:pPr>
    </w:p>
    <w:p w14:paraId="1840634A" w14:textId="77777777" w:rsidR="00412768" w:rsidRDefault="00412768" w:rsidP="00A65F5F">
      <w:pPr>
        <w:ind w:left="-540" w:right="-25"/>
      </w:pPr>
    </w:p>
    <w:tbl>
      <w:tblPr>
        <w:tblStyle w:val="Tablaconcuadrcula"/>
        <w:tblW w:w="10207" w:type="dxa"/>
        <w:jc w:val="center"/>
        <w:tblLook w:val="04A0" w:firstRow="1" w:lastRow="0" w:firstColumn="1" w:lastColumn="0" w:noHBand="0" w:noVBand="1"/>
      </w:tblPr>
      <w:tblGrid>
        <w:gridCol w:w="2127"/>
        <w:gridCol w:w="8080"/>
      </w:tblGrid>
      <w:tr w:rsidR="00A453A1" w:rsidRPr="00780BED" w14:paraId="2A68E156" w14:textId="77777777" w:rsidTr="00973421">
        <w:trPr>
          <w:jc w:val="center"/>
        </w:trPr>
        <w:tc>
          <w:tcPr>
            <w:tcW w:w="2127" w:type="dxa"/>
          </w:tcPr>
          <w:p w14:paraId="792DCF97" w14:textId="77777777" w:rsidR="00A453A1" w:rsidRPr="00780BED" w:rsidRDefault="00A453A1" w:rsidP="0049470C">
            <w:pPr>
              <w:rPr>
                <w:sz w:val="20"/>
              </w:rPr>
            </w:pPr>
            <w:r w:rsidRPr="00780BED">
              <w:rPr>
                <w:sz w:val="20"/>
              </w:rPr>
              <w:t>Nombre</w:t>
            </w:r>
          </w:p>
        </w:tc>
        <w:tc>
          <w:tcPr>
            <w:tcW w:w="8080" w:type="dxa"/>
          </w:tcPr>
          <w:p w14:paraId="6D81DF85" w14:textId="606B47B1" w:rsidR="00A453A1" w:rsidRPr="00780BED" w:rsidRDefault="00487C9E" w:rsidP="0049470C">
            <w:pPr>
              <w:rPr>
                <w:rFonts w:ascii="Calibri" w:hAnsi="Calibri" w:cs="Calibri"/>
                <w:color w:val="000000"/>
                <w:sz w:val="20"/>
                <w:szCs w:val="20"/>
              </w:rPr>
            </w:pPr>
            <w:r>
              <w:rPr>
                <w:rFonts w:ascii="Calibri" w:hAnsi="Calibri" w:cs="Calibri"/>
                <w:color w:val="000000"/>
                <w:sz w:val="20"/>
                <w:szCs w:val="20"/>
              </w:rPr>
              <w:t>Keiner Arce Guerrero</w:t>
            </w:r>
          </w:p>
        </w:tc>
      </w:tr>
      <w:tr w:rsidR="00A453A1" w:rsidRPr="00780BED" w14:paraId="196B994B" w14:textId="77777777" w:rsidTr="00973421">
        <w:trPr>
          <w:jc w:val="center"/>
        </w:trPr>
        <w:tc>
          <w:tcPr>
            <w:tcW w:w="2127" w:type="dxa"/>
          </w:tcPr>
          <w:p w14:paraId="14996900" w14:textId="77777777" w:rsidR="00A453A1" w:rsidRPr="00805984" w:rsidRDefault="00A453A1" w:rsidP="0049470C">
            <w:pPr>
              <w:rPr>
                <w:sz w:val="20"/>
              </w:rPr>
            </w:pPr>
            <w:r w:rsidRPr="00805984">
              <w:rPr>
                <w:sz w:val="20"/>
              </w:rPr>
              <w:t>Año de nacimiento</w:t>
            </w:r>
          </w:p>
        </w:tc>
        <w:tc>
          <w:tcPr>
            <w:tcW w:w="8080" w:type="dxa"/>
          </w:tcPr>
          <w:p w14:paraId="5C5DE6C9" w14:textId="1145FBD0" w:rsidR="00A453A1" w:rsidRPr="00805984" w:rsidRDefault="0090766F" w:rsidP="0049470C">
            <w:pPr>
              <w:rPr>
                <w:rFonts w:ascii="Calibri" w:hAnsi="Calibri" w:cs="Calibri"/>
                <w:color w:val="000000"/>
                <w:sz w:val="20"/>
                <w:szCs w:val="20"/>
              </w:rPr>
            </w:pPr>
            <w:r w:rsidRPr="00805984">
              <w:rPr>
                <w:rFonts w:ascii="Calibri" w:hAnsi="Calibri" w:cs="Calibri"/>
                <w:color w:val="000000"/>
                <w:sz w:val="20"/>
                <w:szCs w:val="20"/>
              </w:rPr>
              <w:t>05</w:t>
            </w:r>
            <w:r w:rsidR="00A453A1" w:rsidRPr="00805984">
              <w:rPr>
                <w:rFonts w:ascii="Calibri" w:hAnsi="Calibri" w:cs="Calibri"/>
                <w:color w:val="000000"/>
                <w:sz w:val="20"/>
                <w:szCs w:val="20"/>
              </w:rPr>
              <w:t>/</w:t>
            </w:r>
            <w:r w:rsidRPr="00805984">
              <w:rPr>
                <w:rFonts w:ascii="Calibri" w:hAnsi="Calibri" w:cs="Calibri"/>
                <w:color w:val="000000"/>
                <w:sz w:val="20"/>
                <w:szCs w:val="20"/>
              </w:rPr>
              <w:t>01</w:t>
            </w:r>
            <w:r w:rsidR="00A453A1" w:rsidRPr="00805984">
              <w:rPr>
                <w:rFonts w:ascii="Calibri" w:hAnsi="Calibri" w:cs="Calibri"/>
                <w:color w:val="000000"/>
                <w:sz w:val="20"/>
                <w:szCs w:val="20"/>
              </w:rPr>
              <w:t>/19</w:t>
            </w:r>
            <w:r w:rsidRPr="00805984">
              <w:rPr>
                <w:rFonts w:ascii="Calibri" w:hAnsi="Calibri" w:cs="Calibri"/>
                <w:color w:val="000000"/>
                <w:sz w:val="20"/>
                <w:szCs w:val="20"/>
              </w:rPr>
              <w:t>83</w:t>
            </w:r>
          </w:p>
        </w:tc>
      </w:tr>
      <w:tr w:rsidR="00A453A1" w:rsidRPr="00780BED" w14:paraId="794BCFC6" w14:textId="77777777" w:rsidTr="00973421">
        <w:trPr>
          <w:jc w:val="center"/>
        </w:trPr>
        <w:tc>
          <w:tcPr>
            <w:tcW w:w="2127" w:type="dxa"/>
          </w:tcPr>
          <w:p w14:paraId="4FE497C7" w14:textId="77777777" w:rsidR="00A453A1" w:rsidRPr="00805984" w:rsidRDefault="00A453A1" w:rsidP="0049470C">
            <w:pPr>
              <w:rPr>
                <w:sz w:val="20"/>
              </w:rPr>
            </w:pPr>
            <w:r w:rsidRPr="00805984">
              <w:rPr>
                <w:sz w:val="20"/>
              </w:rPr>
              <w:t>Poderes que ostenta (destacar representación legal)</w:t>
            </w:r>
          </w:p>
        </w:tc>
        <w:tc>
          <w:tcPr>
            <w:tcW w:w="8080" w:type="dxa"/>
          </w:tcPr>
          <w:p w14:paraId="0F9F9CB7" w14:textId="77777777" w:rsidR="00A453A1" w:rsidRPr="00805984" w:rsidRDefault="00A453A1" w:rsidP="0049470C">
            <w:pPr>
              <w:rPr>
                <w:rFonts w:ascii="Calibri" w:hAnsi="Calibri" w:cs="Calibri"/>
                <w:color w:val="000000"/>
                <w:sz w:val="20"/>
                <w:szCs w:val="20"/>
              </w:rPr>
            </w:pPr>
            <w:r w:rsidRPr="00805984">
              <w:rPr>
                <w:rFonts w:ascii="Calibri" w:hAnsi="Calibri" w:cs="Calibri"/>
                <w:color w:val="000000"/>
                <w:sz w:val="20"/>
                <w:szCs w:val="20"/>
              </w:rPr>
              <w:t>Apoderado Generalísimo sin límite de suma</w:t>
            </w:r>
          </w:p>
        </w:tc>
      </w:tr>
      <w:tr w:rsidR="00A453A1" w:rsidRPr="00780BED" w14:paraId="2B2579AC" w14:textId="77777777" w:rsidTr="00973421">
        <w:trPr>
          <w:jc w:val="center"/>
        </w:trPr>
        <w:tc>
          <w:tcPr>
            <w:tcW w:w="2127" w:type="dxa"/>
          </w:tcPr>
          <w:p w14:paraId="6C6EE114" w14:textId="77777777" w:rsidR="00A453A1" w:rsidRPr="00805984" w:rsidRDefault="00A453A1" w:rsidP="0049470C">
            <w:pPr>
              <w:rPr>
                <w:sz w:val="20"/>
              </w:rPr>
            </w:pPr>
            <w:r w:rsidRPr="00805984">
              <w:rPr>
                <w:sz w:val="20"/>
              </w:rPr>
              <w:t>Fecha de nombramiento</w:t>
            </w:r>
          </w:p>
        </w:tc>
        <w:tc>
          <w:tcPr>
            <w:tcW w:w="8080" w:type="dxa"/>
          </w:tcPr>
          <w:p w14:paraId="74BDA9BC" w14:textId="45E1F1C3" w:rsidR="00A453A1" w:rsidRPr="00805984" w:rsidRDefault="00194F48" w:rsidP="0049470C">
            <w:pPr>
              <w:rPr>
                <w:rFonts w:ascii="Calibri" w:hAnsi="Calibri" w:cs="Calibri"/>
                <w:color w:val="000000"/>
                <w:sz w:val="20"/>
                <w:szCs w:val="20"/>
              </w:rPr>
            </w:pPr>
            <w:r w:rsidRPr="00805984">
              <w:rPr>
                <w:rFonts w:ascii="Calibri" w:hAnsi="Calibri" w:cs="Calibri"/>
                <w:color w:val="000000"/>
                <w:sz w:val="20"/>
                <w:szCs w:val="20"/>
              </w:rPr>
              <w:t>01</w:t>
            </w:r>
            <w:r w:rsidR="00A453A1" w:rsidRPr="00805984">
              <w:rPr>
                <w:rFonts w:ascii="Calibri" w:hAnsi="Calibri" w:cs="Calibri"/>
                <w:color w:val="000000"/>
                <w:sz w:val="20"/>
                <w:szCs w:val="20"/>
              </w:rPr>
              <w:t>/</w:t>
            </w:r>
            <w:r w:rsidRPr="00805984">
              <w:rPr>
                <w:rFonts w:ascii="Calibri" w:hAnsi="Calibri" w:cs="Calibri"/>
                <w:color w:val="000000"/>
                <w:sz w:val="20"/>
                <w:szCs w:val="20"/>
              </w:rPr>
              <w:t>09</w:t>
            </w:r>
            <w:r w:rsidR="00A453A1" w:rsidRPr="00805984">
              <w:rPr>
                <w:rFonts w:ascii="Calibri" w:hAnsi="Calibri" w:cs="Calibri"/>
                <w:color w:val="000000"/>
                <w:sz w:val="20"/>
                <w:szCs w:val="20"/>
              </w:rPr>
              <w:t>/20</w:t>
            </w:r>
            <w:r w:rsidRPr="00805984">
              <w:rPr>
                <w:rFonts w:ascii="Calibri" w:hAnsi="Calibri" w:cs="Calibri"/>
                <w:color w:val="000000"/>
                <w:sz w:val="20"/>
                <w:szCs w:val="20"/>
              </w:rPr>
              <w:t>22</w:t>
            </w:r>
          </w:p>
        </w:tc>
      </w:tr>
      <w:tr w:rsidR="00A453A1" w:rsidRPr="00780BED" w14:paraId="498FDC83" w14:textId="77777777" w:rsidTr="00973421">
        <w:trPr>
          <w:jc w:val="center"/>
        </w:trPr>
        <w:tc>
          <w:tcPr>
            <w:tcW w:w="2127" w:type="dxa"/>
          </w:tcPr>
          <w:p w14:paraId="57B9965F" w14:textId="77777777" w:rsidR="00A453A1" w:rsidRPr="00805984" w:rsidRDefault="00A453A1" w:rsidP="0049470C">
            <w:pPr>
              <w:rPr>
                <w:sz w:val="20"/>
              </w:rPr>
            </w:pPr>
            <w:r w:rsidRPr="00805984">
              <w:rPr>
                <w:sz w:val="20"/>
              </w:rPr>
              <w:t>Fecha vencimiento nombramiento</w:t>
            </w:r>
          </w:p>
        </w:tc>
        <w:tc>
          <w:tcPr>
            <w:tcW w:w="8080" w:type="dxa"/>
          </w:tcPr>
          <w:p w14:paraId="05CAA104" w14:textId="6B6737E6" w:rsidR="00A453A1" w:rsidRPr="00805984" w:rsidRDefault="00A453A1" w:rsidP="0049470C">
            <w:pPr>
              <w:rPr>
                <w:rFonts w:ascii="Calibri" w:hAnsi="Calibri" w:cs="Calibri"/>
                <w:color w:val="000000"/>
                <w:sz w:val="20"/>
                <w:szCs w:val="20"/>
              </w:rPr>
            </w:pPr>
            <w:r w:rsidRPr="00805984">
              <w:rPr>
                <w:rFonts w:ascii="Calibri" w:hAnsi="Calibri" w:cs="Calibri"/>
                <w:color w:val="000000"/>
                <w:sz w:val="20"/>
                <w:szCs w:val="20"/>
              </w:rPr>
              <w:t>0</w:t>
            </w:r>
            <w:r w:rsidR="007C24FB" w:rsidRPr="00805984">
              <w:rPr>
                <w:rFonts w:ascii="Calibri" w:hAnsi="Calibri" w:cs="Calibri"/>
                <w:color w:val="000000"/>
                <w:sz w:val="20"/>
                <w:szCs w:val="20"/>
              </w:rPr>
              <w:t>2</w:t>
            </w:r>
            <w:r w:rsidRPr="00805984">
              <w:rPr>
                <w:rFonts w:ascii="Calibri" w:hAnsi="Calibri" w:cs="Calibri"/>
                <w:color w:val="000000"/>
                <w:sz w:val="20"/>
                <w:szCs w:val="20"/>
              </w:rPr>
              <w:t>/0</w:t>
            </w:r>
            <w:r w:rsidR="007C24FB" w:rsidRPr="00805984">
              <w:rPr>
                <w:rFonts w:ascii="Calibri" w:hAnsi="Calibri" w:cs="Calibri"/>
                <w:color w:val="000000"/>
                <w:sz w:val="20"/>
                <w:szCs w:val="20"/>
              </w:rPr>
              <w:t>3</w:t>
            </w:r>
            <w:r w:rsidRPr="00805984">
              <w:rPr>
                <w:rFonts w:ascii="Calibri" w:hAnsi="Calibri" w:cs="Calibri"/>
                <w:color w:val="000000"/>
                <w:sz w:val="20"/>
                <w:szCs w:val="20"/>
              </w:rPr>
              <w:t>/202</w:t>
            </w:r>
            <w:r w:rsidR="007C24FB" w:rsidRPr="00805984">
              <w:rPr>
                <w:rFonts w:ascii="Calibri" w:hAnsi="Calibri" w:cs="Calibri"/>
                <w:color w:val="000000"/>
                <w:sz w:val="20"/>
                <w:szCs w:val="20"/>
              </w:rPr>
              <w:t>4</w:t>
            </w:r>
          </w:p>
        </w:tc>
      </w:tr>
      <w:tr w:rsidR="00A453A1" w14:paraId="64D5CF88" w14:textId="77777777" w:rsidTr="00973421">
        <w:trPr>
          <w:jc w:val="center"/>
        </w:trPr>
        <w:tc>
          <w:tcPr>
            <w:tcW w:w="2127" w:type="dxa"/>
          </w:tcPr>
          <w:p w14:paraId="2F0B6110" w14:textId="77777777" w:rsidR="00A453A1" w:rsidRPr="00805984" w:rsidRDefault="00A453A1" w:rsidP="0049470C">
            <w:pPr>
              <w:rPr>
                <w:sz w:val="20"/>
              </w:rPr>
            </w:pPr>
            <w:r w:rsidRPr="00805984">
              <w:rPr>
                <w:sz w:val="20"/>
              </w:rPr>
              <w:t>Tiempo que ha ejercido</w:t>
            </w:r>
          </w:p>
        </w:tc>
        <w:tc>
          <w:tcPr>
            <w:tcW w:w="8080" w:type="dxa"/>
          </w:tcPr>
          <w:p w14:paraId="629763A0" w14:textId="6693C6D0" w:rsidR="00A453A1" w:rsidRPr="00805984" w:rsidRDefault="007C7A8A" w:rsidP="0049470C">
            <w:pPr>
              <w:rPr>
                <w:rFonts w:asciiTheme="minorHAnsi" w:hAnsiTheme="minorHAnsi" w:cstheme="minorHAnsi"/>
                <w:sz w:val="20"/>
              </w:rPr>
            </w:pPr>
            <w:r w:rsidRPr="00805984">
              <w:rPr>
                <w:rFonts w:asciiTheme="minorHAnsi" w:hAnsiTheme="minorHAnsi" w:cstheme="minorHAnsi"/>
                <w:sz w:val="20"/>
              </w:rPr>
              <w:t>8</w:t>
            </w:r>
            <w:r w:rsidR="00A453A1" w:rsidRPr="00805984">
              <w:rPr>
                <w:rFonts w:asciiTheme="minorHAnsi" w:hAnsiTheme="minorHAnsi" w:cstheme="minorHAnsi"/>
                <w:sz w:val="20"/>
              </w:rPr>
              <w:t xml:space="preserve"> meses</w:t>
            </w:r>
          </w:p>
        </w:tc>
      </w:tr>
      <w:tr w:rsidR="00A453A1" w14:paraId="7BAF46F1" w14:textId="77777777" w:rsidTr="00973421">
        <w:trPr>
          <w:jc w:val="center"/>
        </w:trPr>
        <w:tc>
          <w:tcPr>
            <w:tcW w:w="2127" w:type="dxa"/>
          </w:tcPr>
          <w:p w14:paraId="79878F83" w14:textId="77777777" w:rsidR="00A453A1" w:rsidRPr="00780BED" w:rsidRDefault="00A453A1" w:rsidP="0049470C">
            <w:pPr>
              <w:rPr>
                <w:sz w:val="20"/>
              </w:rPr>
            </w:pPr>
            <w:r w:rsidRPr="00780BED">
              <w:rPr>
                <w:sz w:val="20"/>
              </w:rPr>
              <w:t>Director en otras sociedades</w:t>
            </w:r>
          </w:p>
        </w:tc>
        <w:tc>
          <w:tcPr>
            <w:tcW w:w="8080" w:type="dxa"/>
          </w:tcPr>
          <w:p w14:paraId="60997F23" w14:textId="77777777" w:rsidR="00A453A1" w:rsidRPr="007C7A8A" w:rsidRDefault="00A453A1" w:rsidP="0049470C">
            <w:pPr>
              <w:rPr>
                <w:rFonts w:asciiTheme="minorHAnsi" w:hAnsiTheme="minorHAnsi" w:cstheme="minorHAnsi"/>
                <w:sz w:val="20"/>
              </w:rPr>
            </w:pPr>
            <w:r w:rsidRPr="007C7A8A">
              <w:rPr>
                <w:rFonts w:asciiTheme="minorHAnsi" w:hAnsiTheme="minorHAnsi" w:cstheme="minorHAnsi"/>
                <w:sz w:val="20"/>
              </w:rPr>
              <w:t>No</w:t>
            </w:r>
          </w:p>
        </w:tc>
      </w:tr>
      <w:tr w:rsidR="00A453A1" w:rsidRPr="00780BED" w14:paraId="5A7FB3EF" w14:textId="77777777" w:rsidTr="00973421">
        <w:trPr>
          <w:jc w:val="center"/>
        </w:trPr>
        <w:tc>
          <w:tcPr>
            <w:tcW w:w="2127" w:type="dxa"/>
          </w:tcPr>
          <w:p w14:paraId="0E41749B" w14:textId="77777777" w:rsidR="00A453A1" w:rsidRPr="00780BED" w:rsidRDefault="00A453A1" w:rsidP="0049470C">
            <w:pPr>
              <w:rPr>
                <w:sz w:val="20"/>
              </w:rPr>
            </w:pPr>
            <w:r w:rsidRPr="00780BED">
              <w:rPr>
                <w:sz w:val="20"/>
              </w:rPr>
              <w:t>Descripción del cargo</w:t>
            </w:r>
          </w:p>
        </w:tc>
        <w:tc>
          <w:tcPr>
            <w:tcW w:w="8080" w:type="dxa"/>
          </w:tcPr>
          <w:p w14:paraId="002304E7" w14:textId="77777777" w:rsidR="00A453A1" w:rsidRPr="00780BED" w:rsidRDefault="00A453A1" w:rsidP="0049470C">
            <w:pPr>
              <w:rPr>
                <w:rFonts w:ascii="Calibri" w:hAnsi="Calibri" w:cs="Calibri"/>
                <w:color w:val="000000"/>
                <w:sz w:val="20"/>
                <w:szCs w:val="20"/>
              </w:rPr>
            </w:pPr>
            <w:r>
              <w:rPr>
                <w:rFonts w:ascii="Calibri" w:hAnsi="Calibri" w:cs="Calibri"/>
                <w:color w:val="000000"/>
                <w:sz w:val="20"/>
                <w:szCs w:val="20"/>
              </w:rPr>
              <w:t>Gerente de Finanzas</w:t>
            </w:r>
          </w:p>
        </w:tc>
      </w:tr>
      <w:tr w:rsidR="00A453A1" w:rsidRPr="00780BED" w14:paraId="5CD4E67F" w14:textId="77777777" w:rsidTr="00973421">
        <w:trPr>
          <w:jc w:val="center"/>
        </w:trPr>
        <w:tc>
          <w:tcPr>
            <w:tcW w:w="2127" w:type="dxa"/>
          </w:tcPr>
          <w:p w14:paraId="7026C37F" w14:textId="77777777" w:rsidR="00A453A1" w:rsidRPr="00780BED" w:rsidRDefault="00A453A1" w:rsidP="0049470C">
            <w:pPr>
              <w:rPr>
                <w:sz w:val="20"/>
              </w:rPr>
            </w:pPr>
            <w:r w:rsidRPr="00780BED">
              <w:rPr>
                <w:sz w:val="20"/>
              </w:rPr>
              <w:t>Funciones</w:t>
            </w:r>
          </w:p>
        </w:tc>
        <w:tc>
          <w:tcPr>
            <w:tcW w:w="8080" w:type="dxa"/>
          </w:tcPr>
          <w:p w14:paraId="1A26C80A" w14:textId="77777777" w:rsidR="00A453A1" w:rsidRPr="00780BED" w:rsidRDefault="00A453A1" w:rsidP="00487C9E">
            <w:pPr>
              <w:jc w:val="left"/>
              <w:rPr>
                <w:rFonts w:ascii="Calibri" w:hAnsi="Calibri" w:cs="Calibri"/>
                <w:color w:val="000000"/>
                <w:sz w:val="20"/>
                <w:szCs w:val="20"/>
              </w:rPr>
            </w:pPr>
            <w:r w:rsidRPr="00B90186">
              <w:rPr>
                <w:rFonts w:ascii="Calibri" w:hAnsi="Calibri" w:cs="Calibri"/>
                <w:color w:val="000000"/>
                <w:sz w:val="20"/>
                <w:szCs w:val="20"/>
              </w:rPr>
              <w:t>A cargo de todos los Procesos Financieros del ICE</w:t>
            </w:r>
            <w:r>
              <w:rPr>
                <w:rFonts w:ascii="Calibri" w:hAnsi="Calibri" w:cs="Calibri"/>
                <w:color w:val="000000"/>
                <w:sz w:val="20"/>
                <w:szCs w:val="20"/>
              </w:rPr>
              <w:br/>
              <w:t xml:space="preserve"> </w:t>
            </w:r>
          </w:p>
        </w:tc>
      </w:tr>
      <w:tr w:rsidR="00A453A1" w:rsidRPr="00780BED" w14:paraId="4EE7020B" w14:textId="77777777" w:rsidTr="00973421">
        <w:trPr>
          <w:jc w:val="center"/>
        </w:trPr>
        <w:tc>
          <w:tcPr>
            <w:tcW w:w="2127" w:type="dxa"/>
          </w:tcPr>
          <w:p w14:paraId="6E9B7F2F" w14:textId="795FC484" w:rsidR="00A453A1" w:rsidRPr="00780BED" w:rsidRDefault="007C7A8A" w:rsidP="0049470C">
            <w:pPr>
              <w:rPr>
                <w:sz w:val="20"/>
              </w:rPr>
            </w:pPr>
            <w:r>
              <w:rPr>
                <w:sz w:val="20"/>
              </w:rPr>
              <w:t>E</w:t>
            </w:r>
            <w:r w:rsidR="00A453A1" w:rsidRPr="00780BED">
              <w:rPr>
                <w:sz w:val="20"/>
              </w:rPr>
              <w:t>xperiencia en el área de trabajo</w:t>
            </w:r>
          </w:p>
        </w:tc>
        <w:tc>
          <w:tcPr>
            <w:tcW w:w="8080" w:type="dxa"/>
          </w:tcPr>
          <w:p w14:paraId="5E6B213D" w14:textId="7007A7B2" w:rsidR="00A453A1" w:rsidRPr="00780BED" w:rsidRDefault="00CE3D02" w:rsidP="0049470C">
            <w:pPr>
              <w:rPr>
                <w:rFonts w:ascii="Calibri" w:hAnsi="Calibri" w:cs="Calibri"/>
                <w:color w:val="000000"/>
                <w:sz w:val="20"/>
                <w:szCs w:val="20"/>
              </w:rPr>
            </w:pPr>
            <w:r w:rsidRPr="00CE3D02">
              <w:rPr>
                <w:rFonts w:ascii="Calibri" w:hAnsi="Calibri" w:cs="Calibri"/>
                <w:color w:val="000000"/>
                <w:sz w:val="20"/>
                <w:szCs w:val="20"/>
              </w:rPr>
              <w:t>Contador público. Cuenta con una licenciatura en Administración de empresas con énfasis en contaduría pública. Además, cuenta con estudios en Programas Avanzados en Finanzas de la Comisión de Integración Energética Regional y Mercado de Valores de la Universidad de Costa Rica. Tiene experiencia en diversos cargos institucionales en el ámbito de las finanzas. Antes de su designación venía fungiendo como director de Estudios Económicos y Financieros de la Gerencia de Finanzas del Instituto.</w:t>
            </w:r>
          </w:p>
        </w:tc>
      </w:tr>
      <w:tr w:rsidR="00A453A1" w14:paraId="48F34E62" w14:textId="77777777" w:rsidTr="00973421">
        <w:trPr>
          <w:jc w:val="center"/>
        </w:trPr>
        <w:tc>
          <w:tcPr>
            <w:tcW w:w="2127" w:type="dxa"/>
          </w:tcPr>
          <w:p w14:paraId="0F463485" w14:textId="77777777" w:rsidR="00A453A1" w:rsidRPr="00780BED" w:rsidRDefault="00A453A1" w:rsidP="0049470C">
            <w:pPr>
              <w:rPr>
                <w:sz w:val="20"/>
              </w:rPr>
            </w:pPr>
            <w:r w:rsidRPr="00780BED">
              <w:rPr>
                <w:sz w:val="20"/>
              </w:rPr>
              <w:t>Relaciones de parentesco hasta segundo grado con miembros del Consejo Directivo</w:t>
            </w:r>
          </w:p>
        </w:tc>
        <w:tc>
          <w:tcPr>
            <w:tcW w:w="8080" w:type="dxa"/>
          </w:tcPr>
          <w:p w14:paraId="13598199" w14:textId="77777777" w:rsidR="00A453A1" w:rsidRDefault="00A453A1" w:rsidP="0049470C">
            <w:pPr>
              <w:jc w:val="left"/>
              <w:rPr>
                <w:rFonts w:ascii="Calibri" w:hAnsi="Calibri" w:cs="Calibri"/>
                <w:color w:val="000000"/>
                <w:sz w:val="20"/>
                <w:szCs w:val="20"/>
              </w:rPr>
            </w:pPr>
            <w:r>
              <w:rPr>
                <w:rFonts w:ascii="Calibri" w:hAnsi="Calibri" w:cs="Calibri"/>
                <w:color w:val="000000"/>
                <w:sz w:val="20"/>
                <w:szCs w:val="20"/>
              </w:rPr>
              <w:t>N/A</w:t>
            </w:r>
          </w:p>
          <w:p w14:paraId="6BCD95A8" w14:textId="77777777" w:rsidR="00A453A1" w:rsidRDefault="00A453A1" w:rsidP="0049470C"/>
        </w:tc>
      </w:tr>
    </w:tbl>
    <w:p w14:paraId="3912E549" w14:textId="77777777" w:rsidR="00A453A1" w:rsidRDefault="00A453A1" w:rsidP="00A65F5F">
      <w:pPr>
        <w:ind w:left="-540" w:right="-25"/>
      </w:pPr>
    </w:p>
    <w:p w14:paraId="24F2F9A3" w14:textId="77777777" w:rsidR="00A453A1" w:rsidRDefault="00A453A1" w:rsidP="00A65F5F">
      <w:pPr>
        <w:ind w:left="-540" w:right="-25"/>
      </w:pPr>
    </w:p>
    <w:p w14:paraId="09F47A02" w14:textId="77777777" w:rsidR="00182484" w:rsidRDefault="00182484" w:rsidP="00A65F5F">
      <w:pPr>
        <w:ind w:left="-540" w:right="-25"/>
      </w:pPr>
    </w:p>
    <w:p w14:paraId="0BB710AE" w14:textId="77777777" w:rsidR="00A453A1" w:rsidRDefault="00A453A1" w:rsidP="00A65F5F">
      <w:pPr>
        <w:ind w:left="-540" w:right="-25"/>
      </w:pPr>
    </w:p>
    <w:tbl>
      <w:tblPr>
        <w:tblStyle w:val="Tablaconcuadrcula"/>
        <w:tblW w:w="10207" w:type="dxa"/>
        <w:jc w:val="center"/>
        <w:tblLook w:val="04A0" w:firstRow="1" w:lastRow="0" w:firstColumn="1" w:lastColumn="0" w:noHBand="0" w:noVBand="1"/>
      </w:tblPr>
      <w:tblGrid>
        <w:gridCol w:w="2127"/>
        <w:gridCol w:w="8080"/>
      </w:tblGrid>
      <w:tr w:rsidR="00A453A1" w:rsidRPr="00780BED" w14:paraId="133651AB" w14:textId="77777777" w:rsidTr="00973421">
        <w:trPr>
          <w:jc w:val="center"/>
        </w:trPr>
        <w:tc>
          <w:tcPr>
            <w:tcW w:w="2127" w:type="dxa"/>
          </w:tcPr>
          <w:p w14:paraId="0907A6BA" w14:textId="77777777" w:rsidR="00A453A1" w:rsidRPr="00780BED" w:rsidRDefault="00A453A1" w:rsidP="0049470C">
            <w:pPr>
              <w:rPr>
                <w:sz w:val="20"/>
              </w:rPr>
            </w:pPr>
            <w:r w:rsidRPr="00780BED">
              <w:rPr>
                <w:sz w:val="20"/>
              </w:rPr>
              <w:t>Nombre</w:t>
            </w:r>
          </w:p>
        </w:tc>
        <w:tc>
          <w:tcPr>
            <w:tcW w:w="8080" w:type="dxa"/>
          </w:tcPr>
          <w:p w14:paraId="0593D3F0" w14:textId="55B46E17" w:rsidR="00A453A1" w:rsidRPr="00780BED" w:rsidRDefault="00CE3D02" w:rsidP="0049470C">
            <w:pPr>
              <w:rPr>
                <w:rFonts w:ascii="Calibri" w:hAnsi="Calibri" w:cs="Calibri"/>
                <w:color w:val="000000"/>
                <w:sz w:val="20"/>
                <w:szCs w:val="20"/>
              </w:rPr>
            </w:pPr>
            <w:r>
              <w:rPr>
                <w:rFonts w:ascii="Calibri" w:hAnsi="Calibri" w:cs="Calibri"/>
                <w:color w:val="000000"/>
                <w:sz w:val="20"/>
                <w:szCs w:val="20"/>
              </w:rPr>
              <w:t>Luis Diego Abarca Fernández</w:t>
            </w:r>
          </w:p>
        </w:tc>
      </w:tr>
      <w:tr w:rsidR="00A453A1" w:rsidRPr="00780BED" w14:paraId="6D27A3EB" w14:textId="77777777" w:rsidTr="00973421">
        <w:trPr>
          <w:jc w:val="center"/>
        </w:trPr>
        <w:tc>
          <w:tcPr>
            <w:tcW w:w="2127" w:type="dxa"/>
          </w:tcPr>
          <w:p w14:paraId="25E7B86E" w14:textId="77777777" w:rsidR="00A453A1" w:rsidRPr="008B328C" w:rsidRDefault="00A453A1" w:rsidP="0049470C">
            <w:pPr>
              <w:rPr>
                <w:sz w:val="20"/>
              </w:rPr>
            </w:pPr>
            <w:r w:rsidRPr="008B328C">
              <w:rPr>
                <w:sz w:val="20"/>
              </w:rPr>
              <w:t>Año de nacimiento</w:t>
            </w:r>
          </w:p>
        </w:tc>
        <w:tc>
          <w:tcPr>
            <w:tcW w:w="8080" w:type="dxa"/>
          </w:tcPr>
          <w:p w14:paraId="459B2D5A" w14:textId="3AD3772F" w:rsidR="00A453A1" w:rsidRPr="008B328C" w:rsidRDefault="009C1330" w:rsidP="0049470C">
            <w:pPr>
              <w:rPr>
                <w:rFonts w:ascii="Calibri" w:hAnsi="Calibri" w:cs="Calibri"/>
                <w:color w:val="000000"/>
                <w:sz w:val="20"/>
                <w:szCs w:val="20"/>
              </w:rPr>
            </w:pPr>
            <w:r w:rsidRPr="008B328C">
              <w:rPr>
                <w:rFonts w:ascii="Calibri" w:hAnsi="Calibri" w:cs="Calibri"/>
                <w:color w:val="000000"/>
                <w:sz w:val="20"/>
                <w:szCs w:val="20"/>
              </w:rPr>
              <w:t>26</w:t>
            </w:r>
            <w:r w:rsidR="00A453A1" w:rsidRPr="008B328C">
              <w:rPr>
                <w:rFonts w:ascii="Calibri" w:hAnsi="Calibri" w:cs="Calibri"/>
                <w:color w:val="000000"/>
                <w:sz w:val="20"/>
                <w:szCs w:val="20"/>
              </w:rPr>
              <w:t>/</w:t>
            </w:r>
            <w:r w:rsidRPr="008B328C">
              <w:rPr>
                <w:rFonts w:ascii="Calibri" w:hAnsi="Calibri" w:cs="Calibri"/>
                <w:color w:val="000000"/>
                <w:sz w:val="20"/>
                <w:szCs w:val="20"/>
              </w:rPr>
              <w:t>11</w:t>
            </w:r>
            <w:r w:rsidR="00A453A1" w:rsidRPr="008B328C">
              <w:rPr>
                <w:rFonts w:ascii="Calibri" w:hAnsi="Calibri" w:cs="Calibri"/>
                <w:color w:val="000000"/>
                <w:sz w:val="20"/>
                <w:szCs w:val="20"/>
              </w:rPr>
              <w:t>/19</w:t>
            </w:r>
            <w:r w:rsidRPr="008B328C">
              <w:rPr>
                <w:rFonts w:ascii="Calibri" w:hAnsi="Calibri" w:cs="Calibri"/>
                <w:color w:val="000000"/>
                <w:sz w:val="20"/>
                <w:szCs w:val="20"/>
              </w:rPr>
              <w:t>76</w:t>
            </w:r>
          </w:p>
        </w:tc>
      </w:tr>
      <w:tr w:rsidR="00A453A1" w:rsidRPr="00780BED" w14:paraId="13D001B9" w14:textId="77777777" w:rsidTr="00973421">
        <w:trPr>
          <w:jc w:val="center"/>
        </w:trPr>
        <w:tc>
          <w:tcPr>
            <w:tcW w:w="2127" w:type="dxa"/>
          </w:tcPr>
          <w:p w14:paraId="24C8607D" w14:textId="77777777" w:rsidR="00A453A1" w:rsidRPr="00780BED" w:rsidRDefault="00A453A1" w:rsidP="0049470C">
            <w:pPr>
              <w:rPr>
                <w:sz w:val="20"/>
              </w:rPr>
            </w:pPr>
            <w:r w:rsidRPr="00780BED">
              <w:rPr>
                <w:sz w:val="20"/>
              </w:rPr>
              <w:t>Poderes que ostenta (destacar representación legal)</w:t>
            </w:r>
          </w:p>
        </w:tc>
        <w:tc>
          <w:tcPr>
            <w:tcW w:w="8080" w:type="dxa"/>
          </w:tcPr>
          <w:p w14:paraId="362A6777" w14:textId="77777777" w:rsidR="00A453A1" w:rsidRPr="00780BED" w:rsidRDefault="00A453A1" w:rsidP="0049470C">
            <w:pPr>
              <w:rPr>
                <w:rFonts w:ascii="Calibri" w:hAnsi="Calibri" w:cs="Calibri"/>
                <w:color w:val="000000"/>
                <w:sz w:val="20"/>
                <w:szCs w:val="20"/>
              </w:rPr>
            </w:pPr>
            <w:r w:rsidRPr="00101562">
              <w:rPr>
                <w:rFonts w:ascii="Calibri" w:hAnsi="Calibri" w:cs="Calibri"/>
                <w:color w:val="000000"/>
                <w:sz w:val="20"/>
                <w:szCs w:val="20"/>
              </w:rPr>
              <w:t>Apoderado Generalísimo sin límite de suma</w:t>
            </w:r>
          </w:p>
        </w:tc>
      </w:tr>
      <w:tr w:rsidR="00A453A1" w:rsidRPr="00780BED" w14:paraId="728FFC0D" w14:textId="77777777" w:rsidTr="00973421">
        <w:trPr>
          <w:jc w:val="center"/>
        </w:trPr>
        <w:tc>
          <w:tcPr>
            <w:tcW w:w="2127" w:type="dxa"/>
          </w:tcPr>
          <w:p w14:paraId="2DDEC03E" w14:textId="77777777" w:rsidR="00A453A1" w:rsidRPr="008B328C" w:rsidRDefault="00A453A1" w:rsidP="0049470C">
            <w:pPr>
              <w:rPr>
                <w:sz w:val="20"/>
              </w:rPr>
            </w:pPr>
            <w:r w:rsidRPr="008B328C">
              <w:rPr>
                <w:sz w:val="20"/>
              </w:rPr>
              <w:t>Fecha de nombramiento</w:t>
            </w:r>
          </w:p>
        </w:tc>
        <w:tc>
          <w:tcPr>
            <w:tcW w:w="8080" w:type="dxa"/>
          </w:tcPr>
          <w:p w14:paraId="5581E08A" w14:textId="36242E8F" w:rsidR="00A453A1" w:rsidRPr="008B328C" w:rsidRDefault="00A453A1" w:rsidP="0049470C">
            <w:pPr>
              <w:rPr>
                <w:rFonts w:ascii="Calibri" w:hAnsi="Calibri" w:cs="Calibri"/>
                <w:color w:val="000000"/>
                <w:sz w:val="20"/>
                <w:szCs w:val="20"/>
              </w:rPr>
            </w:pPr>
            <w:r w:rsidRPr="008B328C">
              <w:rPr>
                <w:rFonts w:ascii="Calibri" w:hAnsi="Calibri" w:cs="Calibri"/>
                <w:color w:val="000000"/>
                <w:sz w:val="20"/>
                <w:szCs w:val="20"/>
              </w:rPr>
              <w:t>06/0</w:t>
            </w:r>
            <w:r w:rsidR="008B328C" w:rsidRPr="008B328C">
              <w:rPr>
                <w:rFonts w:ascii="Calibri" w:hAnsi="Calibri" w:cs="Calibri"/>
                <w:color w:val="000000"/>
                <w:sz w:val="20"/>
                <w:szCs w:val="20"/>
              </w:rPr>
              <w:t>7</w:t>
            </w:r>
            <w:r w:rsidRPr="008B328C">
              <w:rPr>
                <w:rFonts w:ascii="Calibri" w:hAnsi="Calibri" w:cs="Calibri"/>
                <w:color w:val="000000"/>
                <w:sz w:val="20"/>
                <w:szCs w:val="20"/>
              </w:rPr>
              <w:t>/202</w:t>
            </w:r>
            <w:r w:rsidR="008B328C" w:rsidRPr="008B328C">
              <w:rPr>
                <w:rFonts w:ascii="Calibri" w:hAnsi="Calibri" w:cs="Calibri"/>
                <w:color w:val="000000"/>
                <w:sz w:val="20"/>
                <w:szCs w:val="20"/>
              </w:rPr>
              <w:t>2</w:t>
            </w:r>
          </w:p>
        </w:tc>
      </w:tr>
      <w:tr w:rsidR="00A453A1" w:rsidRPr="00780BED" w14:paraId="525C018C" w14:textId="77777777" w:rsidTr="00973421">
        <w:trPr>
          <w:jc w:val="center"/>
        </w:trPr>
        <w:tc>
          <w:tcPr>
            <w:tcW w:w="2127" w:type="dxa"/>
          </w:tcPr>
          <w:p w14:paraId="18C56A79" w14:textId="77777777" w:rsidR="00A453A1" w:rsidRPr="008B328C" w:rsidRDefault="00A453A1" w:rsidP="0049470C">
            <w:pPr>
              <w:rPr>
                <w:sz w:val="20"/>
              </w:rPr>
            </w:pPr>
            <w:r w:rsidRPr="008B328C">
              <w:rPr>
                <w:sz w:val="20"/>
              </w:rPr>
              <w:t>Fecha vencimiento nombramiento</w:t>
            </w:r>
          </w:p>
        </w:tc>
        <w:tc>
          <w:tcPr>
            <w:tcW w:w="8080" w:type="dxa"/>
          </w:tcPr>
          <w:p w14:paraId="68925F39" w14:textId="17773A81" w:rsidR="00A453A1" w:rsidRPr="008B328C" w:rsidRDefault="008B328C" w:rsidP="0049470C">
            <w:pPr>
              <w:rPr>
                <w:rFonts w:ascii="Calibri" w:hAnsi="Calibri" w:cs="Calibri"/>
                <w:color w:val="000000"/>
                <w:sz w:val="20"/>
                <w:szCs w:val="20"/>
              </w:rPr>
            </w:pPr>
            <w:r w:rsidRPr="008B328C">
              <w:rPr>
                <w:rFonts w:ascii="Calibri" w:hAnsi="Calibri" w:cs="Calibri"/>
                <w:color w:val="000000"/>
                <w:sz w:val="20"/>
                <w:szCs w:val="20"/>
              </w:rPr>
              <w:t>Según plazo de ley</w:t>
            </w:r>
          </w:p>
        </w:tc>
      </w:tr>
      <w:tr w:rsidR="00A453A1" w14:paraId="1FB2D7B2" w14:textId="77777777" w:rsidTr="00973421">
        <w:trPr>
          <w:jc w:val="center"/>
        </w:trPr>
        <w:tc>
          <w:tcPr>
            <w:tcW w:w="2127" w:type="dxa"/>
          </w:tcPr>
          <w:p w14:paraId="2EB42AA8" w14:textId="77777777" w:rsidR="00A453A1" w:rsidRPr="008B328C" w:rsidRDefault="00A453A1" w:rsidP="0049470C">
            <w:pPr>
              <w:rPr>
                <w:sz w:val="20"/>
              </w:rPr>
            </w:pPr>
            <w:r w:rsidRPr="008B328C">
              <w:rPr>
                <w:sz w:val="20"/>
              </w:rPr>
              <w:t>Tiempo que ha ejercido</w:t>
            </w:r>
          </w:p>
        </w:tc>
        <w:tc>
          <w:tcPr>
            <w:tcW w:w="8080" w:type="dxa"/>
          </w:tcPr>
          <w:p w14:paraId="50D53DDB" w14:textId="77777777" w:rsidR="00A453A1" w:rsidRPr="008B328C" w:rsidRDefault="00A453A1" w:rsidP="00A453A1">
            <w:pPr>
              <w:jc w:val="left"/>
              <w:rPr>
                <w:rFonts w:ascii="Calibri" w:hAnsi="Calibri" w:cs="Calibri"/>
                <w:color w:val="000000"/>
                <w:sz w:val="20"/>
                <w:szCs w:val="20"/>
              </w:rPr>
            </w:pPr>
            <w:r w:rsidRPr="008B328C">
              <w:rPr>
                <w:rFonts w:ascii="Calibri" w:hAnsi="Calibri" w:cs="Calibri"/>
                <w:color w:val="000000"/>
                <w:sz w:val="20"/>
                <w:szCs w:val="20"/>
              </w:rPr>
              <w:t>7 meses</w:t>
            </w:r>
          </w:p>
        </w:tc>
      </w:tr>
      <w:tr w:rsidR="00A453A1" w14:paraId="13CADA84" w14:textId="77777777" w:rsidTr="00973421">
        <w:trPr>
          <w:jc w:val="center"/>
        </w:trPr>
        <w:tc>
          <w:tcPr>
            <w:tcW w:w="2127" w:type="dxa"/>
          </w:tcPr>
          <w:p w14:paraId="2B09990A" w14:textId="77777777" w:rsidR="00A453A1" w:rsidRPr="00780BED" w:rsidRDefault="00A453A1" w:rsidP="0049470C">
            <w:pPr>
              <w:rPr>
                <w:sz w:val="20"/>
              </w:rPr>
            </w:pPr>
            <w:r w:rsidRPr="00780BED">
              <w:rPr>
                <w:sz w:val="20"/>
              </w:rPr>
              <w:t>Director en otras sociedades</w:t>
            </w:r>
          </w:p>
        </w:tc>
        <w:tc>
          <w:tcPr>
            <w:tcW w:w="8080" w:type="dxa"/>
          </w:tcPr>
          <w:p w14:paraId="2A40D227" w14:textId="77777777" w:rsidR="00A453A1" w:rsidRPr="00A453A1" w:rsidRDefault="00A453A1" w:rsidP="00A453A1">
            <w:pPr>
              <w:jc w:val="left"/>
              <w:rPr>
                <w:rFonts w:ascii="Calibri" w:hAnsi="Calibri" w:cs="Calibri"/>
                <w:color w:val="000000"/>
                <w:sz w:val="20"/>
                <w:szCs w:val="20"/>
              </w:rPr>
            </w:pPr>
            <w:r w:rsidRPr="00A453A1">
              <w:rPr>
                <w:rFonts w:ascii="Calibri" w:hAnsi="Calibri" w:cs="Calibri"/>
                <w:color w:val="000000"/>
                <w:sz w:val="20"/>
                <w:szCs w:val="20"/>
              </w:rPr>
              <w:t>No</w:t>
            </w:r>
          </w:p>
        </w:tc>
      </w:tr>
      <w:tr w:rsidR="00A453A1" w:rsidRPr="00780BED" w14:paraId="596BAD00" w14:textId="77777777" w:rsidTr="00973421">
        <w:trPr>
          <w:jc w:val="center"/>
        </w:trPr>
        <w:tc>
          <w:tcPr>
            <w:tcW w:w="2127" w:type="dxa"/>
          </w:tcPr>
          <w:p w14:paraId="682DC434" w14:textId="77777777" w:rsidR="00A453A1" w:rsidRPr="00780BED" w:rsidRDefault="00A453A1" w:rsidP="0049470C">
            <w:pPr>
              <w:rPr>
                <w:sz w:val="20"/>
              </w:rPr>
            </w:pPr>
            <w:r w:rsidRPr="00780BED">
              <w:rPr>
                <w:sz w:val="20"/>
              </w:rPr>
              <w:t>Descripción del cargo</w:t>
            </w:r>
          </w:p>
        </w:tc>
        <w:tc>
          <w:tcPr>
            <w:tcW w:w="8080" w:type="dxa"/>
          </w:tcPr>
          <w:p w14:paraId="3ECCFF51" w14:textId="77777777" w:rsidR="00A453A1" w:rsidRPr="00780BED" w:rsidRDefault="00A453A1" w:rsidP="0049470C">
            <w:pPr>
              <w:rPr>
                <w:rFonts w:ascii="Calibri" w:hAnsi="Calibri" w:cs="Calibri"/>
                <w:color w:val="000000"/>
                <w:sz w:val="20"/>
                <w:szCs w:val="20"/>
              </w:rPr>
            </w:pPr>
            <w:r w:rsidRPr="00777546">
              <w:rPr>
                <w:rFonts w:ascii="Calibri" w:hAnsi="Calibri" w:cs="Calibri"/>
                <w:color w:val="000000"/>
                <w:sz w:val="20"/>
                <w:szCs w:val="20"/>
              </w:rPr>
              <w:t>Gerente de Telecomunicaciones</w:t>
            </w:r>
          </w:p>
        </w:tc>
      </w:tr>
      <w:tr w:rsidR="00A453A1" w:rsidRPr="00780BED" w14:paraId="2335BF67" w14:textId="77777777" w:rsidTr="00973421">
        <w:trPr>
          <w:jc w:val="center"/>
        </w:trPr>
        <w:tc>
          <w:tcPr>
            <w:tcW w:w="2127" w:type="dxa"/>
          </w:tcPr>
          <w:p w14:paraId="12D8CC65" w14:textId="77777777" w:rsidR="00A453A1" w:rsidRPr="00780BED" w:rsidRDefault="00A453A1" w:rsidP="0049470C">
            <w:pPr>
              <w:rPr>
                <w:sz w:val="20"/>
              </w:rPr>
            </w:pPr>
            <w:r w:rsidRPr="00780BED">
              <w:rPr>
                <w:sz w:val="20"/>
              </w:rPr>
              <w:t>Funciones</w:t>
            </w:r>
          </w:p>
        </w:tc>
        <w:tc>
          <w:tcPr>
            <w:tcW w:w="8080" w:type="dxa"/>
          </w:tcPr>
          <w:p w14:paraId="2225E7AE" w14:textId="34EBDDDA" w:rsidR="00A453A1" w:rsidRPr="00780BED" w:rsidRDefault="00A453A1" w:rsidP="00A453A1">
            <w:pPr>
              <w:jc w:val="left"/>
              <w:rPr>
                <w:rFonts w:ascii="Calibri" w:hAnsi="Calibri" w:cs="Calibri"/>
                <w:color w:val="000000"/>
                <w:sz w:val="20"/>
                <w:szCs w:val="20"/>
              </w:rPr>
            </w:pPr>
            <w:r w:rsidRPr="00B90186">
              <w:rPr>
                <w:rFonts w:ascii="Calibri" w:hAnsi="Calibri" w:cs="Calibri"/>
                <w:color w:val="000000"/>
                <w:sz w:val="20"/>
                <w:szCs w:val="20"/>
              </w:rPr>
              <w:t xml:space="preserve">A cargo de </w:t>
            </w:r>
            <w:r w:rsidR="007C7A8A" w:rsidRPr="00777546">
              <w:rPr>
                <w:rFonts w:ascii="Calibri" w:hAnsi="Calibri" w:cs="Calibri"/>
                <w:color w:val="000000"/>
                <w:sz w:val="20"/>
                <w:szCs w:val="20"/>
              </w:rPr>
              <w:t>la conducción estratégica del negocio telecomunicaciones a nivel institucional</w:t>
            </w:r>
            <w:r>
              <w:rPr>
                <w:rFonts w:ascii="Calibri" w:hAnsi="Calibri" w:cs="Calibri"/>
                <w:color w:val="000000"/>
                <w:sz w:val="20"/>
                <w:szCs w:val="20"/>
              </w:rPr>
              <w:t xml:space="preserve"> </w:t>
            </w:r>
          </w:p>
        </w:tc>
      </w:tr>
      <w:tr w:rsidR="00A453A1" w:rsidRPr="00780BED" w14:paraId="41EC0586" w14:textId="77777777" w:rsidTr="00973421">
        <w:trPr>
          <w:jc w:val="center"/>
        </w:trPr>
        <w:tc>
          <w:tcPr>
            <w:tcW w:w="2127" w:type="dxa"/>
          </w:tcPr>
          <w:p w14:paraId="5FFC86F1" w14:textId="55305A2F" w:rsidR="00A453A1" w:rsidRPr="00780BED" w:rsidRDefault="007C7A8A" w:rsidP="0049470C">
            <w:pPr>
              <w:rPr>
                <w:sz w:val="20"/>
              </w:rPr>
            </w:pPr>
            <w:r>
              <w:rPr>
                <w:sz w:val="20"/>
              </w:rPr>
              <w:t>E</w:t>
            </w:r>
            <w:r w:rsidRPr="00780BED">
              <w:rPr>
                <w:sz w:val="20"/>
              </w:rPr>
              <w:t>xperiencia en el área de trabajo</w:t>
            </w:r>
          </w:p>
        </w:tc>
        <w:tc>
          <w:tcPr>
            <w:tcW w:w="8080" w:type="dxa"/>
          </w:tcPr>
          <w:p w14:paraId="67F5207B" w14:textId="4257C7BE" w:rsidR="00A453A1" w:rsidRPr="00780BED" w:rsidRDefault="006D0EAD" w:rsidP="0049470C">
            <w:pPr>
              <w:rPr>
                <w:rFonts w:ascii="Calibri" w:hAnsi="Calibri" w:cs="Calibri"/>
                <w:color w:val="000000"/>
                <w:sz w:val="20"/>
                <w:szCs w:val="20"/>
              </w:rPr>
            </w:pPr>
            <w:r w:rsidRPr="006D0EAD">
              <w:rPr>
                <w:rFonts w:ascii="Calibri" w:hAnsi="Calibri" w:cs="Calibri"/>
                <w:color w:val="000000"/>
                <w:sz w:val="20"/>
                <w:szCs w:val="20"/>
              </w:rPr>
              <w:t>Ingeniero en Informática y Máster en Administración de Empresas con énfasis en Mercadeo y Finanzas del Instituto Tecnológico de Costa Rica, y formación especializada en Gestión de la Experiencia del Consumidor. Cuenta con 24 años de experiencia en áreas de Tecnología y Telecomunicaciones del ICE. Con amplia experiencia en liderar e implementar procesos de transformación empresarial, ha logrado cambios importantes en la empresa con el fin de hacerle frente a los retos actuales y futuros, además de liderar proyectos tecnológicos para la modernización y evolución. Su trabajo se caracteriza por el establecimiento y fomento de un ambiente de trabajo en equipo, confianza, equidad, integridad, responsabilidad y transparencia.</w:t>
            </w:r>
            <w:r w:rsidRPr="00780BED">
              <w:rPr>
                <w:rFonts w:ascii="Calibri" w:hAnsi="Calibri" w:cs="Calibri"/>
                <w:color w:val="000000"/>
                <w:sz w:val="20"/>
                <w:szCs w:val="20"/>
              </w:rPr>
              <w:t xml:space="preserve"> </w:t>
            </w:r>
          </w:p>
        </w:tc>
      </w:tr>
      <w:tr w:rsidR="00A453A1" w14:paraId="39E4D026" w14:textId="77777777" w:rsidTr="00973421">
        <w:trPr>
          <w:jc w:val="center"/>
        </w:trPr>
        <w:tc>
          <w:tcPr>
            <w:tcW w:w="2127" w:type="dxa"/>
          </w:tcPr>
          <w:p w14:paraId="169CB34F" w14:textId="77777777" w:rsidR="00A453A1" w:rsidRPr="00780BED" w:rsidRDefault="00A453A1" w:rsidP="0049470C">
            <w:pPr>
              <w:rPr>
                <w:sz w:val="20"/>
              </w:rPr>
            </w:pPr>
            <w:r w:rsidRPr="00780BED">
              <w:rPr>
                <w:sz w:val="20"/>
              </w:rPr>
              <w:t>Relaciones de parentesco hasta segundo grado con miembros del Consejo Directivo</w:t>
            </w:r>
          </w:p>
        </w:tc>
        <w:tc>
          <w:tcPr>
            <w:tcW w:w="8080" w:type="dxa"/>
          </w:tcPr>
          <w:p w14:paraId="14979812" w14:textId="77777777" w:rsidR="00A453A1" w:rsidRDefault="00A453A1" w:rsidP="0049470C">
            <w:pPr>
              <w:jc w:val="left"/>
              <w:rPr>
                <w:rFonts w:ascii="Calibri" w:hAnsi="Calibri" w:cs="Calibri"/>
                <w:color w:val="000000"/>
                <w:sz w:val="20"/>
                <w:szCs w:val="20"/>
              </w:rPr>
            </w:pPr>
            <w:r>
              <w:rPr>
                <w:rFonts w:ascii="Calibri" w:hAnsi="Calibri" w:cs="Calibri"/>
                <w:color w:val="000000"/>
                <w:sz w:val="20"/>
                <w:szCs w:val="20"/>
              </w:rPr>
              <w:t>N/A</w:t>
            </w:r>
          </w:p>
          <w:p w14:paraId="16B1B120" w14:textId="77777777" w:rsidR="00A453A1" w:rsidRDefault="00A453A1" w:rsidP="0049470C"/>
        </w:tc>
      </w:tr>
    </w:tbl>
    <w:p w14:paraId="1A120C23" w14:textId="77777777" w:rsidR="006C1066" w:rsidRDefault="006C1066" w:rsidP="00A65F5F">
      <w:pPr>
        <w:ind w:left="-540" w:right="-25"/>
      </w:pPr>
    </w:p>
    <w:p w14:paraId="21C78A03" w14:textId="77777777" w:rsidR="00A453A1" w:rsidRDefault="00A453A1" w:rsidP="00A65F5F">
      <w:pPr>
        <w:ind w:left="-540" w:right="-25"/>
      </w:pPr>
    </w:p>
    <w:tbl>
      <w:tblPr>
        <w:tblStyle w:val="Tablaconcuadrcula"/>
        <w:tblW w:w="10207" w:type="dxa"/>
        <w:jc w:val="center"/>
        <w:tblLook w:val="04A0" w:firstRow="1" w:lastRow="0" w:firstColumn="1" w:lastColumn="0" w:noHBand="0" w:noVBand="1"/>
      </w:tblPr>
      <w:tblGrid>
        <w:gridCol w:w="2127"/>
        <w:gridCol w:w="8080"/>
      </w:tblGrid>
      <w:tr w:rsidR="00A453A1" w:rsidRPr="00780BED" w14:paraId="6F59E8B8" w14:textId="77777777" w:rsidTr="00973421">
        <w:trPr>
          <w:jc w:val="center"/>
        </w:trPr>
        <w:tc>
          <w:tcPr>
            <w:tcW w:w="2127" w:type="dxa"/>
          </w:tcPr>
          <w:p w14:paraId="7F064EC8" w14:textId="77777777" w:rsidR="00A453A1" w:rsidRPr="00957BCE" w:rsidRDefault="00A453A1" w:rsidP="0049470C">
            <w:pPr>
              <w:rPr>
                <w:sz w:val="20"/>
              </w:rPr>
            </w:pPr>
            <w:r w:rsidRPr="00957BCE">
              <w:rPr>
                <w:sz w:val="20"/>
              </w:rPr>
              <w:t>Nombre</w:t>
            </w:r>
          </w:p>
        </w:tc>
        <w:tc>
          <w:tcPr>
            <w:tcW w:w="8080" w:type="dxa"/>
          </w:tcPr>
          <w:p w14:paraId="3009499D" w14:textId="79EDAD31" w:rsidR="00A453A1" w:rsidRPr="00957BCE" w:rsidRDefault="00486829" w:rsidP="0049470C">
            <w:pPr>
              <w:rPr>
                <w:rFonts w:ascii="Calibri" w:hAnsi="Calibri" w:cs="Calibri"/>
                <w:color w:val="000000"/>
                <w:sz w:val="20"/>
                <w:szCs w:val="20"/>
              </w:rPr>
            </w:pPr>
            <w:r w:rsidRPr="00957BCE">
              <w:rPr>
                <w:rFonts w:ascii="Calibri" w:hAnsi="Calibri" w:cs="Calibri"/>
                <w:color w:val="000000"/>
                <w:sz w:val="20"/>
                <w:szCs w:val="20"/>
              </w:rPr>
              <w:t>Vera Bonilla Masís</w:t>
            </w:r>
          </w:p>
        </w:tc>
      </w:tr>
      <w:tr w:rsidR="00A453A1" w:rsidRPr="00780BED" w14:paraId="3379A0AE" w14:textId="77777777" w:rsidTr="00973421">
        <w:trPr>
          <w:jc w:val="center"/>
        </w:trPr>
        <w:tc>
          <w:tcPr>
            <w:tcW w:w="2127" w:type="dxa"/>
          </w:tcPr>
          <w:p w14:paraId="6741CF21" w14:textId="77777777" w:rsidR="00A453A1" w:rsidRPr="00957BCE" w:rsidRDefault="00A453A1" w:rsidP="0049470C">
            <w:pPr>
              <w:rPr>
                <w:sz w:val="20"/>
              </w:rPr>
            </w:pPr>
            <w:r w:rsidRPr="00957BCE">
              <w:rPr>
                <w:sz w:val="20"/>
              </w:rPr>
              <w:t>Año de nacimiento</w:t>
            </w:r>
          </w:p>
        </w:tc>
        <w:tc>
          <w:tcPr>
            <w:tcW w:w="8080" w:type="dxa"/>
          </w:tcPr>
          <w:p w14:paraId="62B42198" w14:textId="343BB376" w:rsidR="00A453A1" w:rsidRPr="00957BCE" w:rsidRDefault="00A453A1" w:rsidP="0049470C">
            <w:pPr>
              <w:rPr>
                <w:rFonts w:ascii="Calibri" w:hAnsi="Calibri" w:cs="Calibri"/>
                <w:color w:val="000000"/>
                <w:sz w:val="20"/>
                <w:szCs w:val="20"/>
              </w:rPr>
            </w:pPr>
            <w:r w:rsidRPr="00957BCE">
              <w:rPr>
                <w:rFonts w:ascii="Calibri" w:hAnsi="Calibri" w:cs="Calibri"/>
                <w:color w:val="000000"/>
                <w:sz w:val="20"/>
                <w:szCs w:val="20"/>
              </w:rPr>
              <w:t>1</w:t>
            </w:r>
            <w:r w:rsidR="005A352A" w:rsidRPr="00957BCE">
              <w:rPr>
                <w:rFonts w:ascii="Calibri" w:hAnsi="Calibri" w:cs="Calibri"/>
                <w:color w:val="000000"/>
                <w:sz w:val="20"/>
                <w:szCs w:val="20"/>
              </w:rPr>
              <w:t>4</w:t>
            </w:r>
            <w:r w:rsidRPr="00957BCE">
              <w:rPr>
                <w:rFonts w:ascii="Calibri" w:hAnsi="Calibri" w:cs="Calibri"/>
                <w:color w:val="000000"/>
                <w:sz w:val="20"/>
                <w:szCs w:val="20"/>
              </w:rPr>
              <w:t>/</w:t>
            </w:r>
            <w:r w:rsidR="005A352A" w:rsidRPr="00957BCE">
              <w:rPr>
                <w:rFonts w:ascii="Calibri" w:hAnsi="Calibri" w:cs="Calibri"/>
                <w:color w:val="000000"/>
                <w:sz w:val="20"/>
                <w:szCs w:val="20"/>
              </w:rPr>
              <w:t>11</w:t>
            </w:r>
            <w:r w:rsidRPr="00957BCE">
              <w:rPr>
                <w:rFonts w:ascii="Calibri" w:hAnsi="Calibri" w:cs="Calibri"/>
                <w:color w:val="000000"/>
                <w:sz w:val="20"/>
                <w:szCs w:val="20"/>
              </w:rPr>
              <w:t>/197</w:t>
            </w:r>
            <w:r w:rsidR="005A352A" w:rsidRPr="00957BCE">
              <w:rPr>
                <w:rFonts w:ascii="Calibri" w:hAnsi="Calibri" w:cs="Calibri"/>
                <w:color w:val="000000"/>
                <w:sz w:val="20"/>
                <w:szCs w:val="20"/>
              </w:rPr>
              <w:t>0</w:t>
            </w:r>
          </w:p>
        </w:tc>
      </w:tr>
      <w:tr w:rsidR="00A453A1" w:rsidRPr="00780BED" w14:paraId="48D500FD" w14:textId="77777777" w:rsidTr="00973421">
        <w:trPr>
          <w:jc w:val="center"/>
        </w:trPr>
        <w:tc>
          <w:tcPr>
            <w:tcW w:w="2127" w:type="dxa"/>
          </w:tcPr>
          <w:p w14:paraId="5C161298" w14:textId="77777777" w:rsidR="00A453A1" w:rsidRPr="00957BCE" w:rsidRDefault="00A453A1" w:rsidP="0049470C">
            <w:pPr>
              <w:rPr>
                <w:sz w:val="20"/>
              </w:rPr>
            </w:pPr>
            <w:r w:rsidRPr="00957BCE">
              <w:rPr>
                <w:sz w:val="20"/>
              </w:rPr>
              <w:t>Poderes que ostenta (destacar representación legal)</w:t>
            </w:r>
          </w:p>
        </w:tc>
        <w:tc>
          <w:tcPr>
            <w:tcW w:w="8080" w:type="dxa"/>
          </w:tcPr>
          <w:p w14:paraId="55D433D3" w14:textId="77777777" w:rsidR="00A453A1" w:rsidRPr="00957BCE" w:rsidRDefault="00A453A1" w:rsidP="0049470C">
            <w:pPr>
              <w:rPr>
                <w:rFonts w:ascii="Calibri" w:hAnsi="Calibri" w:cs="Calibri"/>
                <w:color w:val="000000"/>
                <w:sz w:val="20"/>
                <w:szCs w:val="20"/>
              </w:rPr>
            </w:pPr>
            <w:r w:rsidRPr="00957BCE">
              <w:rPr>
                <w:rFonts w:ascii="Calibri" w:hAnsi="Calibri" w:cs="Calibri"/>
                <w:color w:val="000000"/>
                <w:sz w:val="20"/>
                <w:szCs w:val="20"/>
              </w:rPr>
              <w:t>Apoderado Generalísimo sin límite de suma</w:t>
            </w:r>
          </w:p>
        </w:tc>
      </w:tr>
      <w:tr w:rsidR="00A453A1" w:rsidRPr="00780BED" w14:paraId="68C0ED1D" w14:textId="77777777" w:rsidTr="00973421">
        <w:trPr>
          <w:jc w:val="center"/>
        </w:trPr>
        <w:tc>
          <w:tcPr>
            <w:tcW w:w="2127" w:type="dxa"/>
          </w:tcPr>
          <w:p w14:paraId="2E93D3DC" w14:textId="77777777" w:rsidR="00A453A1" w:rsidRPr="00957BCE" w:rsidRDefault="00A453A1" w:rsidP="0049470C">
            <w:pPr>
              <w:rPr>
                <w:sz w:val="20"/>
              </w:rPr>
            </w:pPr>
            <w:r w:rsidRPr="00957BCE">
              <w:rPr>
                <w:sz w:val="20"/>
              </w:rPr>
              <w:t>Fecha de nombramiento</w:t>
            </w:r>
          </w:p>
        </w:tc>
        <w:tc>
          <w:tcPr>
            <w:tcW w:w="8080" w:type="dxa"/>
          </w:tcPr>
          <w:p w14:paraId="7833729D" w14:textId="0A74190D" w:rsidR="00A453A1" w:rsidRPr="00957BCE" w:rsidRDefault="00A453A1" w:rsidP="0049470C">
            <w:pPr>
              <w:rPr>
                <w:rFonts w:ascii="Calibri" w:hAnsi="Calibri" w:cs="Calibri"/>
                <w:color w:val="000000"/>
                <w:sz w:val="20"/>
                <w:szCs w:val="20"/>
              </w:rPr>
            </w:pPr>
            <w:r w:rsidRPr="00957BCE">
              <w:rPr>
                <w:rFonts w:ascii="Calibri" w:hAnsi="Calibri" w:cs="Calibri"/>
                <w:color w:val="000000"/>
                <w:sz w:val="20"/>
                <w:szCs w:val="20"/>
              </w:rPr>
              <w:t>06/0</w:t>
            </w:r>
            <w:r w:rsidR="001557D9" w:rsidRPr="00957BCE">
              <w:rPr>
                <w:rFonts w:ascii="Calibri" w:hAnsi="Calibri" w:cs="Calibri"/>
                <w:color w:val="000000"/>
                <w:sz w:val="20"/>
                <w:szCs w:val="20"/>
              </w:rPr>
              <w:t>8</w:t>
            </w:r>
            <w:r w:rsidRPr="00957BCE">
              <w:rPr>
                <w:rFonts w:ascii="Calibri" w:hAnsi="Calibri" w:cs="Calibri"/>
                <w:color w:val="000000"/>
                <w:sz w:val="20"/>
                <w:szCs w:val="20"/>
              </w:rPr>
              <w:t>/202</w:t>
            </w:r>
            <w:r w:rsidR="001557D9" w:rsidRPr="00957BCE">
              <w:rPr>
                <w:rFonts w:ascii="Calibri" w:hAnsi="Calibri" w:cs="Calibri"/>
                <w:color w:val="000000"/>
                <w:sz w:val="20"/>
                <w:szCs w:val="20"/>
              </w:rPr>
              <w:t>2</w:t>
            </w:r>
          </w:p>
        </w:tc>
      </w:tr>
      <w:tr w:rsidR="00A453A1" w:rsidRPr="00780BED" w14:paraId="1A4B5EA4" w14:textId="77777777" w:rsidTr="00973421">
        <w:trPr>
          <w:jc w:val="center"/>
        </w:trPr>
        <w:tc>
          <w:tcPr>
            <w:tcW w:w="2127" w:type="dxa"/>
          </w:tcPr>
          <w:p w14:paraId="4C5569F2" w14:textId="77777777" w:rsidR="00A453A1" w:rsidRPr="00957BCE" w:rsidRDefault="00A453A1" w:rsidP="0049470C">
            <w:pPr>
              <w:rPr>
                <w:sz w:val="20"/>
              </w:rPr>
            </w:pPr>
            <w:r w:rsidRPr="00957BCE">
              <w:rPr>
                <w:sz w:val="20"/>
              </w:rPr>
              <w:t>Fecha vencimiento nombramiento</w:t>
            </w:r>
          </w:p>
        </w:tc>
        <w:tc>
          <w:tcPr>
            <w:tcW w:w="8080" w:type="dxa"/>
          </w:tcPr>
          <w:p w14:paraId="03CE3EC9" w14:textId="57300D86" w:rsidR="00A453A1" w:rsidRPr="00957BCE" w:rsidRDefault="00A453A1" w:rsidP="0049470C">
            <w:pPr>
              <w:rPr>
                <w:rFonts w:ascii="Calibri" w:hAnsi="Calibri" w:cs="Calibri"/>
                <w:color w:val="000000"/>
                <w:sz w:val="20"/>
                <w:szCs w:val="20"/>
              </w:rPr>
            </w:pPr>
            <w:r w:rsidRPr="00957BCE">
              <w:rPr>
                <w:rFonts w:ascii="Calibri" w:hAnsi="Calibri" w:cs="Calibri"/>
                <w:color w:val="000000"/>
                <w:sz w:val="20"/>
                <w:szCs w:val="20"/>
              </w:rPr>
              <w:t>0</w:t>
            </w:r>
            <w:r w:rsidR="00DA1645" w:rsidRPr="00957BCE">
              <w:rPr>
                <w:rFonts w:ascii="Calibri" w:hAnsi="Calibri" w:cs="Calibri"/>
                <w:color w:val="000000"/>
                <w:sz w:val="20"/>
                <w:szCs w:val="20"/>
              </w:rPr>
              <w:t>7</w:t>
            </w:r>
            <w:r w:rsidRPr="00957BCE">
              <w:rPr>
                <w:rFonts w:ascii="Calibri" w:hAnsi="Calibri" w:cs="Calibri"/>
                <w:color w:val="000000"/>
                <w:sz w:val="20"/>
                <w:szCs w:val="20"/>
              </w:rPr>
              <w:t>/0</w:t>
            </w:r>
            <w:r w:rsidR="00DA1645" w:rsidRPr="00957BCE">
              <w:rPr>
                <w:rFonts w:ascii="Calibri" w:hAnsi="Calibri" w:cs="Calibri"/>
                <w:color w:val="000000"/>
                <w:sz w:val="20"/>
                <w:szCs w:val="20"/>
              </w:rPr>
              <w:t>2</w:t>
            </w:r>
            <w:r w:rsidRPr="00957BCE">
              <w:rPr>
                <w:rFonts w:ascii="Calibri" w:hAnsi="Calibri" w:cs="Calibri"/>
                <w:color w:val="000000"/>
                <w:sz w:val="20"/>
                <w:szCs w:val="20"/>
              </w:rPr>
              <w:t>/2024</w:t>
            </w:r>
          </w:p>
        </w:tc>
      </w:tr>
      <w:tr w:rsidR="00A453A1" w14:paraId="29E7DEB6" w14:textId="77777777" w:rsidTr="00973421">
        <w:trPr>
          <w:jc w:val="center"/>
        </w:trPr>
        <w:tc>
          <w:tcPr>
            <w:tcW w:w="2127" w:type="dxa"/>
          </w:tcPr>
          <w:p w14:paraId="587A8734" w14:textId="77777777" w:rsidR="00A453A1" w:rsidRPr="00957BCE" w:rsidRDefault="00A453A1" w:rsidP="0049470C">
            <w:pPr>
              <w:rPr>
                <w:sz w:val="20"/>
              </w:rPr>
            </w:pPr>
            <w:r w:rsidRPr="00957BCE">
              <w:rPr>
                <w:sz w:val="20"/>
              </w:rPr>
              <w:t>Tiempo que ha ejercido</w:t>
            </w:r>
          </w:p>
        </w:tc>
        <w:tc>
          <w:tcPr>
            <w:tcW w:w="8080" w:type="dxa"/>
          </w:tcPr>
          <w:p w14:paraId="6FA1B69F" w14:textId="1460D820" w:rsidR="00A453A1" w:rsidRPr="00957BCE" w:rsidRDefault="00957BCE" w:rsidP="0049470C">
            <w:pPr>
              <w:rPr>
                <w:rFonts w:ascii="Calibri" w:hAnsi="Calibri" w:cs="Calibri"/>
                <w:color w:val="000000"/>
                <w:sz w:val="20"/>
                <w:szCs w:val="20"/>
              </w:rPr>
            </w:pPr>
            <w:r w:rsidRPr="00957BCE">
              <w:rPr>
                <w:rFonts w:ascii="Calibri" w:hAnsi="Calibri" w:cs="Calibri"/>
                <w:color w:val="000000"/>
                <w:sz w:val="20"/>
                <w:szCs w:val="20"/>
              </w:rPr>
              <w:t>9</w:t>
            </w:r>
            <w:r w:rsidR="00A453A1" w:rsidRPr="00957BCE">
              <w:rPr>
                <w:rFonts w:ascii="Calibri" w:hAnsi="Calibri" w:cs="Calibri"/>
                <w:color w:val="000000"/>
                <w:sz w:val="20"/>
                <w:szCs w:val="20"/>
              </w:rPr>
              <w:t xml:space="preserve"> meses</w:t>
            </w:r>
          </w:p>
        </w:tc>
      </w:tr>
      <w:tr w:rsidR="00A453A1" w14:paraId="6C433D18" w14:textId="77777777" w:rsidTr="00973421">
        <w:trPr>
          <w:jc w:val="center"/>
        </w:trPr>
        <w:tc>
          <w:tcPr>
            <w:tcW w:w="2127" w:type="dxa"/>
          </w:tcPr>
          <w:p w14:paraId="3F57A3CA" w14:textId="77777777" w:rsidR="00A453A1" w:rsidRPr="00780BED" w:rsidRDefault="00A453A1" w:rsidP="0049470C">
            <w:pPr>
              <w:rPr>
                <w:sz w:val="20"/>
              </w:rPr>
            </w:pPr>
            <w:r w:rsidRPr="00780BED">
              <w:rPr>
                <w:sz w:val="20"/>
              </w:rPr>
              <w:t>Director en otras sociedades</w:t>
            </w:r>
          </w:p>
        </w:tc>
        <w:tc>
          <w:tcPr>
            <w:tcW w:w="8080" w:type="dxa"/>
          </w:tcPr>
          <w:p w14:paraId="203354A7" w14:textId="77777777" w:rsidR="00A453A1" w:rsidRPr="00182B71" w:rsidRDefault="00A453A1" w:rsidP="0049470C">
            <w:pPr>
              <w:rPr>
                <w:rFonts w:ascii="Calibri" w:hAnsi="Calibri" w:cs="Calibri"/>
                <w:color w:val="000000"/>
                <w:sz w:val="20"/>
                <w:szCs w:val="20"/>
              </w:rPr>
            </w:pPr>
            <w:r w:rsidRPr="00182B71">
              <w:rPr>
                <w:rFonts w:ascii="Calibri" w:hAnsi="Calibri" w:cs="Calibri"/>
                <w:color w:val="000000"/>
                <w:sz w:val="20"/>
                <w:szCs w:val="20"/>
              </w:rPr>
              <w:t>No</w:t>
            </w:r>
          </w:p>
        </w:tc>
      </w:tr>
      <w:tr w:rsidR="00A453A1" w:rsidRPr="00780BED" w14:paraId="425CF77C" w14:textId="77777777" w:rsidTr="00973421">
        <w:trPr>
          <w:jc w:val="center"/>
        </w:trPr>
        <w:tc>
          <w:tcPr>
            <w:tcW w:w="2127" w:type="dxa"/>
          </w:tcPr>
          <w:p w14:paraId="6A8BA4EC" w14:textId="77777777" w:rsidR="00A453A1" w:rsidRPr="00780BED" w:rsidRDefault="00A453A1" w:rsidP="0049470C">
            <w:pPr>
              <w:rPr>
                <w:sz w:val="20"/>
              </w:rPr>
            </w:pPr>
            <w:r w:rsidRPr="00780BED">
              <w:rPr>
                <w:sz w:val="20"/>
              </w:rPr>
              <w:t>Descripción del cargo</w:t>
            </w:r>
          </w:p>
        </w:tc>
        <w:tc>
          <w:tcPr>
            <w:tcW w:w="8080" w:type="dxa"/>
          </w:tcPr>
          <w:p w14:paraId="0A42DE75" w14:textId="18FCEBC5" w:rsidR="00A453A1" w:rsidRPr="00780BED" w:rsidRDefault="00A453A1" w:rsidP="0049470C">
            <w:pPr>
              <w:rPr>
                <w:rFonts w:ascii="Calibri" w:hAnsi="Calibri" w:cs="Calibri"/>
                <w:color w:val="000000"/>
                <w:sz w:val="20"/>
                <w:szCs w:val="20"/>
              </w:rPr>
            </w:pPr>
            <w:r>
              <w:rPr>
                <w:rFonts w:ascii="Calibri" w:hAnsi="Calibri" w:cs="Calibri"/>
                <w:color w:val="000000"/>
                <w:sz w:val="20"/>
                <w:szCs w:val="20"/>
              </w:rPr>
              <w:t xml:space="preserve">Gerente de </w:t>
            </w:r>
            <w:r w:rsidR="00C568C0">
              <w:rPr>
                <w:rFonts w:ascii="Calibri" w:hAnsi="Calibri" w:cs="Calibri"/>
                <w:color w:val="000000"/>
                <w:sz w:val="20"/>
                <w:szCs w:val="20"/>
              </w:rPr>
              <w:t>Tecnología y Soluciones Digitales</w:t>
            </w:r>
          </w:p>
        </w:tc>
      </w:tr>
      <w:tr w:rsidR="00A453A1" w:rsidRPr="00780BED" w14:paraId="6AF8A7B2" w14:textId="77777777" w:rsidTr="00973421">
        <w:trPr>
          <w:jc w:val="center"/>
        </w:trPr>
        <w:tc>
          <w:tcPr>
            <w:tcW w:w="2127" w:type="dxa"/>
          </w:tcPr>
          <w:p w14:paraId="038F26BE" w14:textId="77777777" w:rsidR="00A453A1" w:rsidRPr="00780BED" w:rsidRDefault="00A453A1" w:rsidP="0049470C">
            <w:pPr>
              <w:rPr>
                <w:sz w:val="20"/>
              </w:rPr>
            </w:pPr>
            <w:r w:rsidRPr="00780BED">
              <w:rPr>
                <w:sz w:val="20"/>
              </w:rPr>
              <w:t>Funciones</w:t>
            </w:r>
          </w:p>
        </w:tc>
        <w:tc>
          <w:tcPr>
            <w:tcW w:w="8080" w:type="dxa"/>
          </w:tcPr>
          <w:p w14:paraId="25CE0092" w14:textId="77777777" w:rsidR="00A453A1" w:rsidRPr="00780BED" w:rsidRDefault="00A453A1" w:rsidP="00C568C0">
            <w:pPr>
              <w:jc w:val="left"/>
              <w:rPr>
                <w:rFonts w:ascii="Calibri" w:hAnsi="Calibri" w:cs="Calibri"/>
                <w:color w:val="000000"/>
                <w:sz w:val="20"/>
                <w:szCs w:val="20"/>
              </w:rPr>
            </w:pPr>
            <w:r w:rsidRPr="00AE7884">
              <w:rPr>
                <w:rFonts w:ascii="Calibri" w:hAnsi="Calibri" w:cs="Calibri"/>
                <w:color w:val="000000"/>
                <w:sz w:val="20"/>
                <w:szCs w:val="20"/>
              </w:rPr>
              <w:t>A cargo de todos los Procesos que involucren Sistemas Tecnológicos</w:t>
            </w:r>
            <w:r>
              <w:rPr>
                <w:rFonts w:ascii="Calibri" w:hAnsi="Calibri" w:cs="Calibri"/>
                <w:color w:val="000000"/>
                <w:sz w:val="20"/>
                <w:szCs w:val="20"/>
              </w:rPr>
              <w:br/>
              <w:t xml:space="preserve"> </w:t>
            </w:r>
          </w:p>
        </w:tc>
      </w:tr>
      <w:tr w:rsidR="00A453A1" w:rsidRPr="00780BED" w14:paraId="063135D5" w14:textId="77777777" w:rsidTr="00973421">
        <w:trPr>
          <w:jc w:val="center"/>
        </w:trPr>
        <w:tc>
          <w:tcPr>
            <w:tcW w:w="2127" w:type="dxa"/>
          </w:tcPr>
          <w:p w14:paraId="60463C84" w14:textId="67C83BC9" w:rsidR="00A453A1" w:rsidRPr="00780BED" w:rsidRDefault="007C7A8A" w:rsidP="0049470C">
            <w:pPr>
              <w:rPr>
                <w:sz w:val="20"/>
              </w:rPr>
            </w:pPr>
            <w:r>
              <w:rPr>
                <w:sz w:val="20"/>
              </w:rPr>
              <w:t>E</w:t>
            </w:r>
            <w:r w:rsidR="00A453A1" w:rsidRPr="00780BED">
              <w:rPr>
                <w:sz w:val="20"/>
              </w:rPr>
              <w:t>xperiencia en el área de trabajo</w:t>
            </w:r>
          </w:p>
        </w:tc>
        <w:tc>
          <w:tcPr>
            <w:tcW w:w="8080" w:type="dxa"/>
          </w:tcPr>
          <w:p w14:paraId="018C80AE" w14:textId="7B50A079" w:rsidR="00A453A1" w:rsidRPr="00780BED" w:rsidRDefault="00C568C0" w:rsidP="0049470C">
            <w:pPr>
              <w:rPr>
                <w:rFonts w:ascii="Calibri" w:hAnsi="Calibri" w:cs="Calibri"/>
                <w:color w:val="000000"/>
                <w:sz w:val="20"/>
                <w:szCs w:val="20"/>
              </w:rPr>
            </w:pPr>
            <w:r w:rsidRPr="00C568C0">
              <w:rPr>
                <w:rFonts w:ascii="Calibri" w:hAnsi="Calibri" w:cs="Calibri"/>
                <w:color w:val="000000"/>
                <w:sz w:val="20"/>
                <w:szCs w:val="20"/>
              </w:rPr>
              <w:t>Licenciada en Informática con énfasis en Sistemas de Información por la Universidad Nacional (UNA). Máster en Administración de Proyectos por la Universidad para la Cooperación Internacional (UCI). Además, cuenta con diversos estudios en Gerencia de Proyectos Informáticos Especializados, E-Businees e Innovación Tecnológica, entre otros. Ha formado parte de la implementación de importantes proyectos tecnológicos de la Institución. Labora para el ICE desde 1994.</w:t>
            </w:r>
          </w:p>
        </w:tc>
      </w:tr>
      <w:tr w:rsidR="00A453A1" w14:paraId="74F61805" w14:textId="77777777" w:rsidTr="00973421">
        <w:trPr>
          <w:jc w:val="center"/>
        </w:trPr>
        <w:tc>
          <w:tcPr>
            <w:tcW w:w="2127" w:type="dxa"/>
          </w:tcPr>
          <w:p w14:paraId="28EADCB6" w14:textId="77777777" w:rsidR="00A453A1" w:rsidRPr="00780BED" w:rsidRDefault="00A453A1" w:rsidP="0049470C">
            <w:pPr>
              <w:rPr>
                <w:sz w:val="20"/>
              </w:rPr>
            </w:pPr>
            <w:r w:rsidRPr="00780BED">
              <w:rPr>
                <w:sz w:val="20"/>
              </w:rPr>
              <w:t>Relaciones de parentesco hasta segundo grado con miembros del Consejo Directivo</w:t>
            </w:r>
          </w:p>
        </w:tc>
        <w:tc>
          <w:tcPr>
            <w:tcW w:w="8080" w:type="dxa"/>
          </w:tcPr>
          <w:p w14:paraId="5521F728" w14:textId="77777777" w:rsidR="00A453A1" w:rsidRDefault="00A453A1" w:rsidP="0049470C">
            <w:pPr>
              <w:jc w:val="left"/>
              <w:rPr>
                <w:rFonts w:ascii="Calibri" w:hAnsi="Calibri" w:cs="Calibri"/>
                <w:color w:val="000000"/>
                <w:sz w:val="20"/>
                <w:szCs w:val="20"/>
              </w:rPr>
            </w:pPr>
            <w:r>
              <w:rPr>
                <w:rFonts w:ascii="Calibri" w:hAnsi="Calibri" w:cs="Calibri"/>
                <w:color w:val="000000"/>
                <w:sz w:val="20"/>
                <w:szCs w:val="20"/>
              </w:rPr>
              <w:t>N/A</w:t>
            </w:r>
          </w:p>
          <w:p w14:paraId="1313AD90" w14:textId="77777777" w:rsidR="00A453A1" w:rsidRDefault="00A453A1" w:rsidP="0049470C"/>
        </w:tc>
      </w:tr>
    </w:tbl>
    <w:p w14:paraId="65286429" w14:textId="77777777" w:rsidR="00A65F5F" w:rsidRPr="007430A9" w:rsidRDefault="00A65F5F" w:rsidP="00EF0D70">
      <w:pPr>
        <w:pStyle w:val="Ttulo2"/>
        <w:numPr>
          <w:ilvl w:val="1"/>
          <w:numId w:val="55"/>
        </w:numPr>
      </w:pPr>
      <w:bookmarkStart w:id="3433" w:name="_Toc343676084"/>
      <w:bookmarkStart w:id="3434" w:name="_Toc358619447"/>
      <w:bookmarkStart w:id="3435" w:name="_Toc358620712"/>
      <w:bookmarkStart w:id="3436" w:name="_Toc358621919"/>
      <w:bookmarkStart w:id="3437" w:name="_Toc358622896"/>
      <w:bookmarkStart w:id="3438" w:name="_Toc26357180"/>
      <w:bookmarkStart w:id="3439" w:name="_Toc138664968"/>
      <w:r w:rsidRPr="007430A9">
        <w:t>Personal</w:t>
      </w:r>
      <w:bookmarkEnd w:id="3433"/>
      <w:bookmarkEnd w:id="3434"/>
      <w:bookmarkEnd w:id="3435"/>
      <w:bookmarkEnd w:id="3436"/>
      <w:bookmarkEnd w:id="3437"/>
      <w:bookmarkEnd w:id="3438"/>
      <w:bookmarkEnd w:id="3439"/>
    </w:p>
    <w:p w14:paraId="5997616B" w14:textId="77777777" w:rsidR="00A65F5F" w:rsidRPr="007430A9" w:rsidRDefault="00A65F5F" w:rsidP="00A65F5F">
      <w:pPr>
        <w:ind w:left="-540" w:right="-25"/>
      </w:pPr>
    </w:p>
    <w:p w14:paraId="1F812EA0" w14:textId="42FF1F9A" w:rsidR="00A65F5F" w:rsidRDefault="00A65F5F" w:rsidP="00A65F5F">
      <w:pPr>
        <w:ind w:left="-540" w:right="-25"/>
      </w:pPr>
      <w:r w:rsidRPr="007430A9">
        <w:t xml:space="preserve">Al 31 de diciembre </w:t>
      </w:r>
      <w:r w:rsidRPr="00DC3510">
        <w:t>del 20</w:t>
      </w:r>
      <w:r w:rsidR="00DC3510" w:rsidRPr="00DC3510">
        <w:t>2</w:t>
      </w:r>
      <w:r w:rsidR="00972FDD">
        <w:t>2</w:t>
      </w:r>
      <w:r w:rsidRPr="00DC3510">
        <w:t>,</w:t>
      </w:r>
      <w:r w:rsidRPr="007430A9">
        <w:t xml:space="preserve"> la cantidad de empleados del ICE </w:t>
      </w:r>
      <w:r w:rsidRPr="00FF15F6">
        <w:t>alcanza las 1</w:t>
      </w:r>
      <w:r w:rsidR="00B3219B">
        <w:t>1</w:t>
      </w:r>
      <w:r w:rsidRPr="00FF15F6">
        <w:t>.</w:t>
      </w:r>
      <w:r w:rsidR="00972FDD">
        <w:t>397</w:t>
      </w:r>
      <w:r w:rsidRPr="00FF15F6">
        <w:t xml:space="preserve"> personas</w:t>
      </w:r>
      <w:r w:rsidR="00DC3510" w:rsidRPr="00FF15F6">
        <w:t>.</w:t>
      </w:r>
    </w:p>
    <w:p w14:paraId="3ADE5AE0" w14:textId="5152C5B8" w:rsidR="00A65F5F" w:rsidRDefault="00A65F5F" w:rsidP="00A65F5F">
      <w:pPr>
        <w:ind w:right="-25"/>
      </w:pPr>
      <w:r>
        <w:t xml:space="preserve">          </w:t>
      </w:r>
    </w:p>
    <w:p w14:paraId="66A3CF99" w14:textId="77777777" w:rsidR="00A65F5F" w:rsidRPr="00EC7D9E" w:rsidRDefault="00A65F5F" w:rsidP="00EF0D70">
      <w:pPr>
        <w:pStyle w:val="Ttulo2"/>
        <w:numPr>
          <w:ilvl w:val="1"/>
          <w:numId w:val="55"/>
        </w:numPr>
      </w:pPr>
      <w:bookmarkStart w:id="3440" w:name="_Toc304737247"/>
      <w:bookmarkStart w:id="3441" w:name="_Toc343676085"/>
      <w:bookmarkStart w:id="3442" w:name="_Toc358619448"/>
      <w:bookmarkStart w:id="3443" w:name="_Toc358620713"/>
      <w:bookmarkStart w:id="3444" w:name="_Toc358621920"/>
      <w:bookmarkStart w:id="3445" w:name="_Toc358622897"/>
      <w:bookmarkStart w:id="3446" w:name="_Toc26357181"/>
      <w:bookmarkStart w:id="3447" w:name="_Toc138664969"/>
      <w:r w:rsidRPr="00EC7D9E">
        <w:t xml:space="preserve">Agrupaciones </w:t>
      </w:r>
      <w:r w:rsidRPr="00707F8E">
        <w:t>Gremiales</w:t>
      </w:r>
      <w:bookmarkEnd w:id="3440"/>
      <w:bookmarkEnd w:id="3441"/>
      <w:bookmarkEnd w:id="3442"/>
      <w:bookmarkEnd w:id="3443"/>
      <w:bookmarkEnd w:id="3444"/>
      <w:bookmarkEnd w:id="3445"/>
      <w:bookmarkEnd w:id="3446"/>
      <w:bookmarkEnd w:id="3447"/>
    </w:p>
    <w:p w14:paraId="35600C68" w14:textId="77777777" w:rsidR="00A65F5F" w:rsidRDefault="00A65F5F" w:rsidP="00A65F5F">
      <w:pPr>
        <w:ind w:left="-540" w:right="-25"/>
      </w:pPr>
    </w:p>
    <w:p w14:paraId="40C8B3DE" w14:textId="4FF2E354" w:rsidR="00A65F5F" w:rsidRDefault="00A65F5F" w:rsidP="00A65F5F">
      <w:pPr>
        <w:ind w:left="-540" w:right="-25"/>
      </w:pPr>
      <w:r w:rsidRPr="007430A9">
        <w:t>En el ICE existen alrededor de 9 agrupaciones gremiales y el porcentaje de la planilla que está afiliada a uno o varios sindicatos es del 3</w:t>
      </w:r>
      <w:r w:rsidR="00DC3510">
        <w:t>2</w:t>
      </w:r>
      <w:r w:rsidRPr="007430A9">
        <w:t>% aproximadamente.</w:t>
      </w:r>
    </w:p>
    <w:p w14:paraId="6EA92D6D" w14:textId="77777777" w:rsidR="00A65F5F" w:rsidRDefault="00A65F5F" w:rsidP="00A65F5F">
      <w:pPr>
        <w:ind w:left="-540" w:right="-25"/>
      </w:pPr>
    </w:p>
    <w:p w14:paraId="6B40B05F" w14:textId="77777777" w:rsidR="00A65F5F" w:rsidRPr="00670E95" w:rsidRDefault="00A65F5F" w:rsidP="00EF0D70">
      <w:pPr>
        <w:pStyle w:val="Ttulo2"/>
        <w:numPr>
          <w:ilvl w:val="1"/>
          <w:numId w:val="55"/>
        </w:numPr>
      </w:pPr>
      <w:bookmarkStart w:id="3448" w:name="_Toc304737248"/>
      <w:bookmarkStart w:id="3449" w:name="_Toc343676086"/>
      <w:bookmarkStart w:id="3450" w:name="_Toc358619449"/>
      <w:bookmarkStart w:id="3451" w:name="_Toc358620714"/>
      <w:bookmarkStart w:id="3452" w:name="_Toc358621921"/>
      <w:bookmarkStart w:id="3453" w:name="_Toc358622898"/>
      <w:bookmarkStart w:id="3454" w:name="_Toc26357182"/>
      <w:bookmarkStart w:id="3455" w:name="_Toc138664970"/>
      <w:r w:rsidRPr="005A5977">
        <w:t>Participación social</w:t>
      </w:r>
      <w:r w:rsidRPr="00670E95">
        <w:t xml:space="preserve"> d</w:t>
      </w:r>
      <w:r w:rsidRPr="00664BD3">
        <w:t>e directores,</w:t>
      </w:r>
      <w:r w:rsidRPr="00670E95">
        <w:t xml:space="preserve"> personal gerencial, y empleados</w:t>
      </w:r>
      <w:bookmarkEnd w:id="3448"/>
      <w:bookmarkEnd w:id="3449"/>
      <w:bookmarkEnd w:id="3450"/>
      <w:bookmarkEnd w:id="3451"/>
      <w:bookmarkEnd w:id="3452"/>
      <w:bookmarkEnd w:id="3453"/>
      <w:bookmarkEnd w:id="3454"/>
      <w:bookmarkEnd w:id="3455"/>
    </w:p>
    <w:p w14:paraId="2BBB1D6E" w14:textId="77777777" w:rsidR="00A65F5F" w:rsidRPr="00B54467" w:rsidRDefault="00A65F5F" w:rsidP="00A65F5F">
      <w:pPr>
        <w:ind w:left="-540" w:right="-25"/>
        <w:rPr>
          <w:lang w:val="es-ES"/>
        </w:rPr>
      </w:pPr>
    </w:p>
    <w:p w14:paraId="4464D49C" w14:textId="77777777" w:rsidR="00A65F5F" w:rsidRDefault="00A65F5F" w:rsidP="00A65F5F">
      <w:pPr>
        <w:tabs>
          <w:tab w:val="left" w:pos="6211"/>
        </w:tabs>
        <w:ind w:left="-567"/>
      </w:pPr>
      <w:r>
        <w:t>El ICE es una entidad autónoma propiedad del Estado costarricense. En su composición patrimonial, se muestra capital aportado en vez de acciones comunes. Por esta razón ningún director, gerente o empleado mantiene una participación en la composición social del Instituto Costarricense de Electricidad</w:t>
      </w:r>
      <w:r w:rsidRPr="00670E95">
        <w:t>.</w:t>
      </w:r>
    </w:p>
    <w:p w14:paraId="6B3D41BB" w14:textId="77777777" w:rsidR="00A65F5F" w:rsidRDefault="00A65F5F" w:rsidP="00A65F5F">
      <w:pPr>
        <w:tabs>
          <w:tab w:val="left" w:pos="6211"/>
        </w:tabs>
        <w:ind w:left="-567"/>
      </w:pPr>
    </w:p>
    <w:p w14:paraId="280F93B4" w14:textId="77777777" w:rsidR="00A65F5F" w:rsidRPr="00424925" w:rsidRDefault="00A65F5F" w:rsidP="00EF0D70">
      <w:pPr>
        <w:pStyle w:val="Ttulo1"/>
        <w:numPr>
          <w:ilvl w:val="0"/>
          <w:numId w:val="55"/>
        </w:numPr>
      </w:pPr>
      <w:bookmarkStart w:id="3456" w:name="_Toc304737249"/>
      <w:bookmarkStart w:id="3457" w:name="_Toc343676087"/>
      <w:bookmarkStart w:id="3458" w:name="_Toc358619450"/>
      <w:bookmarkStart w:id="3459" w:name="_Toc358620715"/>
      <w:bookmarkStart w:id="3460" w:name="_Toc358621922"/>
      <w:bookmarkStart w:id="3461" w:name="_Toc358622899"/>
      <w:bookmarkStart w:id="3462" w:name="_Toc26357183"/>
      <w:bookmarkStart w:id="3463" w:name="_Toc138664971"/>
      <w:r w:rsidRPr="009D6692">
        <w:t>Participaciones significativas</w:t>
      </w:r>
      <w:r w:rsidRPr="00670E95">
        <w:t xml:space="preserve"> y transacciones con partes relacionadas</w:t>
      </w:r>
      <w:bookmarkStart w:id="3464" w:name="_Toc191377655"/>
      <w:bookmarkStart w:id="3465" w:name="_Toc192577402"/>
      <w:bookmarkStart w:id="3466" w:name="_Toc192591276"/>
      <w:bookmarkStart w:id="3467" w:name="_Toc192925784"/>
      <w:bookmarkStart w:id="3468" w:name="_Toc192925871"/>
      <w:bookmarkStart w:id="3469" w:name="_Toc192933527"/>
      <w:bookmarkStart w:id="3470" w:name="_Toc192933758"/>
      <w:bookmarkStart w:id="3471" w:name="_Toc193006340"/>
      <w:bookmarkStart w:id="3472" w:name="_Toc193006431"/>
      <w:bookmarkStart w:id="3473" w:name="_Toc193006521"/>
      <w:bookmarkStart w:id="3474" w:name="_Toc193006611"/>
      <w:bookmarkStart w:id="3475" w:name="_Toc193006701"/>
      <w:bookmarkStart w:id="3476" w:name="_Toc193006790"/>
      <w:bookmarkStart w:id="3477" w:name="_Toc193114083"/>
      <w:bookmarkStart w:id="3478" w:name="_Toc193185727"/>
      <w:bookmarkStart w:id="3479" w:name="_Toc193188614"/>
      <w:bookmarkStart w:id="3480" w:name="_Toc193200066"/>
      <w:bookmarkStart w:id="3481" w:name="_Toc197158928"/>
      <w:bookmarkStart w:id="3482" w:name="_Toc197160191"/>
      <w:bookmarkStart w:id="3483" w:name="_Toc197235656"/>
      <w:bookmarkStart w:id="3484" w:name="_Toc197235994"/>
      <w:bookmarkStart w:id="3485" w:name="_Toc199652875"/>
      <w:bookmarkStart w:id="3486" w:name="_Toc200335872"/>
      <w:bookmarkStart w:id="3487" w:name="_Toc206844830"/>
      <w:bookmarkStart w:id="3488" w:name="_Toc206905693"/>
      <w:bookmarkStart w:id="3489" w:name="_Toc207095803"/>
      <w:bookmarkStart w:id="3490" w:name="_Toc207098188"/>
      <w:bookmarkStart w:id="3491" w:name="_Toc207098381"/>
      <w:bookmarkStart w:id="3492" w:name="_Toc207098578"/>
      <w:bookmarkStart w:id="3493" w:name="_Toc207098678"/>
      <w:bookmarkStart w:id="3494" w:name="_Toc207098777"/>
      <w:bookmarkStart w:id="3495" w:name="_Toc207103438"/>
      <w:bookmarkStart w:id="3496" w:name="_Toc207178825"/>
      <w:bookmarkStart w:id="3497" w:name="_Toc208394705"/>
      <w:bookmarkStart w:id="3498" w:name="_Toc210618916"/>
      <w:bookmarkStart w:id="3499" w:name="_Toc210619198"/>
      <w:bookmarkStart w:id="3500" w:name="_Toc210619425"/>
      <w:bookmarkStart w:id="3501" w:name="_Toc210619933"/>
      <w:bookmarkStart w:id="3502" w:name="_Toc222025489"/>
      <w:bookmarkStart w:id="3503" w:name="_Toc222030425"/>
      <w:bookmarkStart w:id="3504" w:name="_Toc222135056"/>
      <w:bookmarkStart w:id="3505" w:name="_Toc222675477"/>
      <w:bookmarkStart w:id="3506" w:name="_Toc222828445"/>
      <w:bookmarkStart w:id="3507" w:name="_Toc222828542"/>
      <w:bookmarkStart w:id="3508" w:name="_Toc222887755"/>
      <w:bookmarkStart w:id="3509" w:name="_Toc222912221"/>
      <w:bookmarkStart w:id="3510" w:name="_Toc222915280"/>
      <w:bookmarkStart w:id="3511" w:name="_Toc222915374"/>
      <w:bookmarkStart w:id="3512" w:name="_Toc222919756"/>
      <w:bookmarkStart w:id="3513" w:name="_Toc222919850"/>
      <w:bookmarkStart w:id="3514" w:name="_Toc222919945"/>
      <w:bookmarkStart w:id="3515" w:name="_Toc222920248"/>
      <w:bookmarkStart w:id="3516" w:name="_Toc223164600"/>
      <w:bookmarkStart w:id="3517" w:name="_Toc223176033"/>
      <w:bookmarkStart w:id="3518" w:name="_Toc223337159"/>
      <w:bookmarkStart w:id="3519" w:name="_Toc223337252"/>
      <w:bookmarkStart w:id="3520" w:name="_Toc223342245"/>
      <w:bookmarkStart w:id="3521" w:name="_Toc223357610"/>
      <w:bookmarkStart w:id="3522" w:name="_Toc223357701"/>
      <w:bookmarkStart w:id="3523" w:name="_Toc223491475"/>
      <w:bookmarkStart w:id="3524" w:name="_Toc225051405"/>
      <w:bookmarkStart w:id="3525" w:name="_Toc225073495"/>
      <w:bookmarkStart w:id="3526" w:name="_Toc225078443"/>
      <w:bookmarkStart w:id="3527" w:name="_Toc225078534"/>
      <w:bookmarkStart w:id="3528" w:name="_Toc225079375"/>
      <w:bookmarkStart w:id="3529" w:name="_Toc225149001"/>
      <w:bookmarkStart w:id="3530" w:name="_Toc225149092"/>
      <w:bookmarkStart w:id="3531" w:name="_Toc225149183"/>
      <w:bookmarkStart w:id="3532" w:name="_Toc225154751"/>
      <w:bookmarkStart w:id="3533" w:name="_Toc225156265"/>
      <w:bookmarkStart w:id="3534" w:name="_Toc225160934"/>
      <w:bookmarkStart w:id="3535" w:name="_Toc225223174"/>
      <w:bookmarkStart w:id="3536" w:name="_Toc225241415"/>
      <w:bookmarkStart w:id="3537" w:name="_Toc225242800"/>
      <w:bookmarkStart w:id="3538" w:name="_Toc225242892"/>
      <w:bookmarkStart w:id="3539" w:name="_Toc225307398"/>
      <w:bookmarkStart w:id="3540" w:name="_Toc225307490"/>
      <w:bookmarkStart w:id="3541" w:name="_Toc225912394"/>
      <w:bookmarkStart w:id="3542" w:name="_Toc225912502"/>
      <w:bookmarkStart w:id="3543" w:name="_Toc225912594"/>
      <w:bookmarkStart w:id="3544" w:name="_Toc225912718"/>
      <w:bookmarkStart w:id="3545" w:name="_Toc225912810"/>
      <w:bookmarkStart w:id="3546" w:name="_Toc225912902"/>
      <w:bookmarkStart w:id="3547" w:name="_Toc225912994"/>
      <w:bookmarkStart w:id="3548" w:name="_Toc225913087"/>
      <w:bookmarkStart w:id="3549" w:name="_Toc225913252"/>
      <w:bookmarkStart w:id="3550" w:name="_Toc225913353"/>
      <w:bookmarkStart w:id="3551" w:name="_Toc225913573"/>
      <w:bookmarkStart w:id="3552" w:name="_Toc225913779"/>
      <w:bookmarkStart w:id="3553" w:name="_Toc225913875"/>
      <w:bookmarkStart w:id="3554" w:name="_Toc225913971"/>
      <w:bookmarkStart w:id="3555" w:name="_Toc225914067"/>
      <w:bookmarkStart w:id="3556" w:name="_Toc225914163"/>
      <w:bookmarkStart w:id="3557" w:name="_Toc225914290"/>
      <w:bookmarkStart w:id="3558" w:name="_Toc225914386"/>
      <w:bookmarkStart w:id="3559" w:name="_Toc225914660"/>
      <w:bookmarkStart w:id="3560" w:name="_Toc225914756"/>
      <w:bookmarkStart w:id="3561" w:name="_Toc225914853"/>
      <w:bookmarkStart w:id="3562" w:name="_Toc225914951"/>
      <w:bookmarkStart w:id="3563" w:name="_Toc225915048"/>
      <w:bookmarkStart w:id="3564" w:name="_Toc225915146"/>
      <w:bookmarkStart w:id="3565" w:name="_Toc225921514"/>
      <w:bookmarkStart w:id="3566" w:name="_Toc226779698"/>
      <w:bookmarkStart w:id="3567" w:name="_Toc226807284"/>
      <w:bookmarkStart w:id="3568" w:name="_Toc226807398"/>
      <w:bookmarkStart w:id="3569" w:name="_Toc226807512"/>
      <w:bookmarkStart w:id="3570" w:name="_Toc226807623"/>
      <w:bookmarkStart w:id="3571" w:name="_Toc226808510"/>
      <w:bookmarkStart w:id="3572" w:name="_Toc226808621"/>
      <w:bookmarkStart w:id="3573" w:name="_Toc229150804"/>
      <w:bookmarkStart w:id="3574" w:name="_Toc231981247"/>
      <w:bookmarkStart w:id="3575" w:name="_Toc234672936"/>
      <w:bookmarkStart w:id="3576" w:name="_Toc234673046"/>
      <w:bookmarkStart w:id="3577" w:name="_Toc234673155"/>
      <w:bookmarkStart w:id="3578" w:name="_Toc234673264"/>
      <w:bookmarkStart w:id="3579" w:name="_Toc234673373"/>
      <w:bookmarkStart w:id="3580" w:name="_Toc234673592"/>
      <w:bookmarkStart w:id="3581" w:name="_Toc234673702"/>
      <w:bookmarkStart w:id="3582" w:name="_Toc234744118"/>
      <w:bookmarkStart w:id="3583" w:name="_Toc234744332"/>
      <w:bookmarkStart w:id="3584" w:name="_Toc234750762"/>
      <w:bookmarkStart w:id="3585" w:name="_Toc234750874"/>
      <w:bookmarkStart w:id="3586" w:name="_Toc234923966"/>
      <w:bookmarkStart w:id="3587" w:name="_Toc234925888"/>
      <w:bookmarkStart w:id="3588" w:name="_Toc235615321"/>
      <w:bookmarkStart w:id="3589" w:name="_Toc235616810"/>
      <w:bookmarkStart w:id="3590" w:name="_Toc235857058"/>
      <w:bookmarkStart w:id="3591" w:name="_Toc237334756"/>
      <w:bookmarkStart w:id="3592" w:name="_Toc237919709"/>
      <w:bookmarkStart w:id="3593" w:name="_Toc238276633"/>
      <w:bookmarkStart w:id="3594" w:name="_Toc238869576"/>
      <w:bookmarkStart w:id="3595" w:name="_Toc238873129"/>
      <w:bookmarkStart w:id="3596" w:name="_Toc238873502"/>
      <w:bookmarkStart w:id="3597" w:name="_Toc238877039"/>
      <w:bookmarkStart w:id="3598" w:name="_Toc240107408"/>
      <w:bookmarkStart w:id="3599" w:name="_Toc240159639"/>
      <w:bookmarkStart w:id="3600" w:name="_Toc240159791"/>
      <w:bookmarkStart w:id="3601" w:name="_Toc240255829"/>
      <w:bookmarkStart w:id="3602" w:name="_Toc240267733"/>
      <w:bookmarkStart w:id="3603" w:name="_Toc240267844"/>
      <w:bookmarkStart w:id="3604" w:name="_Toc240268237"/>
      <w:bookmarkStart w:id="3605" w:name="_Toc240268492"/>
      <w:bookmarkStart w:id="3606" w:name="_Toc240268605"/>
      <w:bookmarkStart w:id="3607" w:name="_Toc240268716"/>
      <w:bookmarkStart w:id="3608" w:name="_Toc240454307"/>
      <w:bookmarkStart w:id="3609" w:name="_Toc240697992"/>
      <w:bookmarkStart w:id="3610" w:name="_Toc258937794"/>
      <w:bookmarkStart w:id="3611" w:name="_Toc261418444"/>
      <w:bookmarkStart w:id="3612" w:name="_Toc261458628"/>
      <w:bookmarkStart w:id="3613" w:name="_Toc261459016"/>
      <w:bookmarkStart w:id="3614" w:name="_Toc262203338"/>
      <w:bookmarkStart w:id="3615" w:name="_Toc262218675"/>
      <w:bookmarkStart w:id="3616" w:name="_Toc262319131"/>
      <w:bookmarkStart w:id="3617" w:name="_Toc262459025"/>
      <w:bookmarkStart w:id="3618" w:name="_Toc262459879"/>
      <w:bookmarkStart w:id="3619" w:name="_Toc262460294"/>
      <w:bookmarkStart w:id="3620" w:name="_Toc262460421"/>
      <w:bookmarkStart w:id="3621" w:name="_Toc262460548"/>
      <w:bookmarkStart w:id="3622" w:name="_Toc262481044"/>
      <w:bookmarkStart w:id="3623" w:name="_Toc262483233"/>
      <w:bookmarkStart w:id="3624" w:name="_Toc262483367"/>
      <w:bookmarkStart w:id="3625" w:name="_Toc262483504"/>
      <w:bookmarkStart w:id="3626" w:name="_Toc262483640"/>
      <w:bookmarkStart w:id="3627" w:name="_Toc262483775"/>
      <w:bookmarkStart w:id="3628" w:name="_Toc262483910"/>
      <w:bookmarkStart w:id="3629" w:name="_Toc304736462"/>
      <w:bookmarkStart w:id="3630" w:name="_Toc304736696"/>
      <w:bookmarkStart w:id="3631" w:name="_Toc304736944"/>
      <w:bookmarkStart w:id="3632" w:name="_Toc304737250"/>
      <w:bookmarkStart w:id="3633" w:name="_Toc326700946"/>
      <w:bookmarkStart w:id="3634" w:name="_Toc326701584"/>
      <w:bookmarkStart w:id="3635" w:name="_Toc326730930"/>
      <w:bookmarkStart w:id="3636" w:name="_Toc326731116"/>
      <w:bookmarkStart w:id="3637" w:name="_Toc326731614"/>
      <w:bookmarkStart w:id="3638" w:name="_Toc326732526"/>
      <w:bookmarkStart w:id="3639" w:name="_Toc326734257"/>
      <w:bookmarkStart w:id="3640" w:name="_Toc326735206"/>
      <w:bookmarkStart w:id="3641" w:name="_Toc326735517"/>
      <w:bookmarkStart w:id="3642" w:name="_Toc343676088"/>
      <w:bookmarkStart w:id="3643" w:name="_Toc358619451"/>
      <w:bookmarkStart w:id="3644" w:name="_Toc358620716"/>
      <w:bookmarkStart w:id="3645" w:name="_Toc358621923"/>
      <w:bookmarkStart w:id="3646" w:name="_Toc358622900"/>
      <w:bookmarkStart w:id="3647" w:name="_Toc358623028"/>
      <w:bookmarkStart w:id="3648" w:name="_Toc390247958"/>
      <w:bookmarkStart w:id="3649" w:name="_Toc421258469"/>
      <w:bookmarkStart w:id="3650" w:name="_Toc421264537"/>
      <w:bookmarkStart w:id="3651" w:name="_Toc421264781"/>
      <w:bookmarkStart w:id="3652" w:name="_Toc421265096"/>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14:paraId="78A22219" w14:textId="77777777" w:rsidR="00A65F5F" w:rsidRPr="0000671D" w:rsidRDefault="00A65F5F" w:rsidP="00A65F5F">
      <w:pPr>
        <w:pStyle w:val="Ttulo2"/>
        <w:numPr>
          <w:ilvl w:val="0"/>
          <w:numId w:val="0"/>
        </w:numPr>
        <w:ind w:left="480"/>
      </w:pPr>
      <w:bookmarkStart w:id="3653" w:name="_Toc304737251"/>
      <w:bookmarkStart w:id="3654" w:name="_Toc343676089"/>
      <w:bookmarkStart w:id="3655" w:name="_Toc358619452"/>
      <w:bookmarkStart w:id="3656" w:name="_Toc358620717"/>
      <w:bookmarkStart w:id="3657" w:name="_Toc358621924"/>
      <w:bookmarkStart w:id="3658" w:name="_Toc358622901"/>
      <w:bookmarkStart w:id="3659" w:name="_Toc138664972"/>
      <w:bookmarkStart w:id="3660" w:name="_Toc26357184"/>
      <w:r>
        <w:t xml:space="preserve">7.1 </w:t>
      </w:r>
      <w:r w:rsidRPr="0000671D">
        <w:t>Transacciones con partes relacionadas</w:t>
      </w:r>
      <w:bookmarkEnd w:id="3653"/>
      <w:bookmarkEnd w:id="3654"/>
      <w:bookmarkEnd w:id="3655"/>
      <w:bookmarkEnd w:id="3656"/>
      <w:bookmarkEnd w:id="3657"/>
      <w:bookmarkEnd w:id="3658"/>
      <w:bookmarkEnd w:id="3659"/>
      <w:r>
        <w:t xml:space="preserve"> </w:t>
      </w:r>
      <w:bookmarkEnd w:id="3660"/>
    </w:p>
    <w:p w14:paraId="7F0324BF" w14:textId="77777777" w:rsidR="00A65F5F" w:rsidRPr="00670E95" w:rsidRDefault="00A65F5F" w:rsidP="00A65F5F">
      <w:pPr>
        <w:ind w:left="-540" w:right="-25"/>
      </w:pPr>
    </w:p>
    <w:p w14:paraId="36A5A368" w14:textId="07371AA6" w:rsidR="00A65F5F" w:rsidRDefault="00A65F5F" w:rsidP="00A65F5F">
      <w:pPr>
        <w:ind w:left="-540" w:right="-25"/>
      </w:pPr>
      <w:r w:rsidRPr="008D5FF7">
        <w:t xml:space="preserve">De conformidad con la información financiera auditada al </w:t>
      </w:r>
      <w:r w:rsidRPr="00973421">
        <w:t>31 de diciembre de 20</w:t>
      </w:r>
      <w:r w:rsidR="00A83243" w:rsidRPr="00973421">
        <w:t>2</w:t>
      </w:r>
      <w:r w:rsidR="001655EA">
        <w:t>2</w:t>
      </w:r>
      <w:r w:rsidRPr="00973421">
        <w:t>,</w:t>
      </w:r>
      <w:r w:rsidRPr="008D5FF7">
        <w:t xml:space="preserve"> los saldos y transacciones más importantes del ICE y sus subsidiarias son:</w:t>
      </w:r>
    </w:p>
    <w:p w14:paraId="0B7A958A" w14:textId="77777777" w:rsidR="00A65F5F" w:rsidRDefault="00A65F5F" w:rsidP="00A65F5F">
      <w:pPr>
        <w:ind w:left="-540" w:right="-25"/>
      </w:pPr>
    </w:p>
    <w:tbl>
      <w:tblPr>
        <w:tblW w:w="9300" w:type="dxa"/>
        <w:tblCellMar>
          <w:left w:w="70" w:type="dxa"/>
          <w:right w:w="70" w:type="dxa"/>
        </w:tblCellMar>
        <w:tblLook w:val="04A0" w:firstRow="1" w:lastRow="0" w:firstColumn="1" w:lastColumn="0" w:noHBand="0" w:noVBand="1"/>
      </w:tblPr>
      <w:tblGrid>
        <w:gridCol w:w="3380"/>
        <w:gridCol w:w="250"/>
        <w:gridCol w:w="1245"/>
        <w:gridCol w:w="195"/>
        <w:gridCol w:w="1245"/>
        <w:gridCol w:w="300"/>
        <w:gridCol w:w="1245"/>
        <w:gridCol w:w="195"/>
        <w:gridCol w:w="1245"/>
      </w:tblGrid>
      <w:tr w:rsidR="001655EA" w:rsidRPr="001655EA" w14:paraId="04AD1E38" w14:textId="77777777" w:rsidTr="00182484">
        <w:trPr>
          <w:trHeight w:val="290"/>
        </w:trPr>
        <w:tc>
          <w:tcPr>
            <w:tcW w:w="3380" w:type="dxa"/>
            <w:tcBorders>
              <w:top w:val="nil"/>
              <w:left w:val="nil"/>
              <w:bottom w:val="nil"/>
              <w:right w:val="nil"/>
            </w:tcBorders>
            <w:shd w:val="clear" w:color="000000" w:fill="FFFFFF"/>
            <w:noWrap/>
            <w:vAlign w:val="bottom"/>
            <w:hideMark/>
          </w:tcPr>
          <w:p w14:paraId="3424865F"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250" w:type="dxa"/>
            <w:tcBorders>
              <w:top w:val="nil"/>
              <w:left w:val="nil"/>
              <w:bottom w:val="nil"/>
              <w:right w:val="nil"/>
            </w:tcBorders>
            <w:shd w:val="clear" w:color="000000" w:fill="FFFFFF"/>
            <w:noWrap/>
            <w:vAlign w:val="bottom"/>
            <w:hideMark/>
          </w:tcPr>
          <w:p w14:paraId="7843AE05"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2685" w:type="dxa"/>
            <w:gridSpan w:val="3"/>
            <w:tcBorders>
              <w:top w:val="nil"/>
              <w:left w:val="nil"/>
              <w:bottom w:val="single" w:sz="4" w:space="0" w:color="auto"/>
              <w:right w:val="nil"/>
            </w:tcBorders>
            <w:shd w:val="clear" w:color="000000" w:fill="FFFFFF"/>
            <w:vAlign w:val="bottom"/>
            <w:hideMark/>
          </w:tcPr>
          <w:p w14:paraId="5777E8E8"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Por cobrar</w:t>
            </w:r>
          </w:p>
        </w:tc>
        <w:tc>
          <w:tcPr>
            <w:tcW w:w="300" w:type="dxa"/>
            <w:tcBorders>
              <w:top w:val="nil"/>
              <w:left w:val="nil"/>
              <w:bottom w:val="nil"/>
              <w:right w:val="nil"/>
            </w:tcBorders>
            <w:shd w:val="clear" w:color="000000" w:fill="FFFFFF"/>
            <w:vAlign w:val="bottom"/>
            <w:hideMark/>
          </w:tcPr>
          <w:p w14:paraId="2E2EE61F"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w:t>
            </w:r>
          </w:p>
        </w:tc>
        <w:tc>
          <w:tcPr>
            <w:tcW w:w="2685" w:type="dxa"/>
            <w:gridSpan w:val="3"/>
            <w:tcBorders>
              <w:top w:val="nil"/>
              <w:left w:val="nil"/>
              <w:bottom w:val="single" w:sz="4" w:space="0" w:color="auto"/>
              <w:right w:val="nil"/>
            </w:tcBorders>
            <w:shd w:val="clear" w:color="000000" w:fill="FFFFFF"/>
            <w:vAlign w:val="bottom"/>
            <w:hideMark/>
          </w:tcPr>
          <w:p w14:paraId="583F04EF"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Por pagar</w:t>
            </w:r>
          </w:p>
        </w:tc>
      </w:tr>
      <w:tr w:rsidR="001655EA" w:rsidRPr="001655EA" w14:paraId="0B7BBCD1" w14:textId="77777777" w:rsidTr="00182484">
        <w:trPr>
          <w:trHeight w:val="290"/>
        </w:trPr>
        <w:tc>
          <w:tcPr>
            <w:tcW w:w="3380" w:type="dxa"/>
            <w:tcBorders>
              <w:top w:val="nil"/>
              <w:left w:val="nil"/>
              <w:bottom w:val="nil"/>
              <w:right w:val="nil"/>
            </w:tcBorders>
            <w:shd w:val="clear" w:color="000000" w:fill="FFFFFF"/>
            <w:noWrap/>
            <w:vAlign w:val="bottom"/>
            <w:hideMark/>
          </w:tcPr>
          <w:p w14:paraId="006CF236"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250" w:type="dxa"/>
            <w:tcBorders>
              <w:top w:val="nil"/>
              <w:left w:val="nil"/>
              <w:bottom w:val="nil"/>
              <w:right w:val="nil"/>
            </w:tcBorders>
            <w:shd w:val="clear" w:color="000000" w:fill="FFFFFF"/>
            <w:noWrap/>
            <w:vAlign w:val="bottom"/>
            <w:hideMark/>
          </w:tcPr>
          <w:p w14:paraId="6E94A701"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5670" w:type="dxa"/>
            <w:gridSpan w:val="7"/>
            <w:tcBorders>
              <w:top w:val="nil"/>
              <w:left w:val="nil"/>
              <w:bottom w:val="single" w:sz="4" w:space="0" w:color="auto"/>
              <w:right w:val="nil"/>
            </w:tcBorders>
            <w:shd w:val="clear" w:color="000000" w:fill="FFFFFF"/>
            <w:vAlign w:val="bottom"/>
            <w:hideMark/>
          </w:tcPr>
          <w:p w14:paraId="57D7C3B4"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Al 31 de diciembre de </w:t>
            </w:r>
          </w:p>
        </w:tc>
      </w:tr>
      <w:tr w:rsidR="001655EA" w:rsidRPr="001655EA" w14:paraId="6565045B" w14:textId="77777777" w:rsidTr="00182484">
        <w:trPr>
          <w:trHeight w:val="290"/>
        </w:trPr>
        <w:tc>
          <w:tcPr>
            <w:tcW w:w="3380" w:type="dxa"/>
            <w:tcBorders>
              <w:top w:val="nil"/>
              <w:left w:val="nil"/>
              <w:bottom w:val="nil"/>
              <w:right w:val="nil"/>
            </w:tcBorders>
            <w:shd w:val="clear" w:color="000000" w:fill="FFFFFF"/>
            <w:noWrap/>
            <w:vAlign w:val="bottom"/>
            <w:hideMark/>
          </w:tcPr>
          <w:p w14:paraId="25074B09"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250" w:type="dxa"/>
            <w:tcBorders>
              <w:top w:val="nil"/>
              <w:left w:val="nil"/>
              <w:bottom w:val="nil"/>
              <w:right w:val="nil"/>
            </w:tcBorders>
            <w:shd w:val="clear" w:color="000000" w:fill="FFFFFF"/>
            <w:noWrap/>
            <w:vAlign w:val="bottom"/>
            <w:hideMark/>
          </w:tcPr>
          <w:p w14:paraId="23D65916"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single" w:sz="4" w:space="0" w:color="auto"/>
              <w:right w:val="nil"/>
            </w:tcBorders>
            <w:shd w:val="clear" w:color="000000" w:fill="FFFFFF"/>
            <w:vAlign w:val="bottom"/>
            <w:hideMark/>
          </w:tcPr>
          <w:p w14:paraId="71245909"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2022</w:t>
            </w:r>
          </w:p>
        </w:tc>
        <w:tc>
          <w:tcPr>
            <w:tcW w:w="195" w:type="dxa"/>
            <w:tcBorders>
              <w:top w:val="nil"/>
              <w:left w:val="nil"/>
              <w:bottom w:val="nil"/>
              <w:right w:val="nil"/>
            </w:tcBorders>
            <w:shd w:val="clear" w:color="000000" w:fill="FFFFFF"/>
            <w:noWrap/>
            <w:vAlign w:val="bottom"/>
            <w:hideMark/>
          </w:tcPr>
          <w:p w14:paraId="1A78A961"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single" w:sz="4" w:space="0" w:color="auto"/>
              <w:right w:val="nil"/>
            </w:tcBorders>
            <w:shd w:val="clear" w:color="000000" w:fill="FFFFFF"/>
            <w:vAlign w:val="bottom"/>
            <w:hideMark/>
          </w:tcPr>
          <w:p w14:paraId="2206B280"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2021</w:t>
            </w:r>
          </w:p>
        </w:tc>
        <w:tc>
          <w:tcPr>
            <w:tcW w:w="300" w:type="dxa"/>
            <w:tcBorders>
              <w:top w:val="nil"/>
              <w:left w:val="nil"/>
              <w:bottom w:val="nil"/>
              <w:right w:val="nil"/>
            </w:tcBorders>
            <w:shd w:val="clear" w:color="000000" w:fill="FFFFFF"/>
            <w:noWrap/>
            <w:vAlign w:val="bottom"/>
            <w:hideMark/>
          </w:tcPr>
          <w:p w14:paraId="75FA9E2E"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single" w:sz="4" w:space="0" w:color="auto"/>
              <w:right w:val="nil"/>
            </w:tcBorders>
            <w:shd w:val="clear" w:color="000000" w:fill="FFFFFF"/>
            <w:vAlign w:val="bottom"/>
            <w:hideMark/>
          </w:tcPr>
          <w:p w14:paraId="2A934811" w14:textId="77777777" w:rsidR="001655EA" w:rsidRPr="001655EA" w:rsidRDefault="001655EA" w:rsidP="001655EA">
            <w:pPr>
              <w:ind w:right="0"/>
              <w:jc w:val="center"/>
              <w:rPr>
                <w:sz w:val="22"/>
                <w:szCs w:val="22"/>
                <w:lang w:val="es-419" w:eastAsia="es-419"/>
              </w:rPr>
            </w:pPr>
            <w:r w:rsidRPr="001655EA">
              <w:rPr>
                <w:sz w:val="22"/>
                <w:szCs w:val="22"/>
                <w:lang w:val="es-419" w:eastAsia="es-419"/>
              </w:rPr>
              <w:t>2022</w:t>
            </w:r>
          </w:p>
        </w:tc>
        <w:tc>
          <w:tcPr>
            <w:tcW w:w="195" w:type="dxa"/>
            <w:tcBorders>
              <w:top w:val="nil"/>
              <w:left w:val="nil"/>
              <w:bottom w:val="nil"/>
              <w:right w:val="nil"/>
            </w:tcBorders>
            <w:shd w:val="clear" w:color="000000" w:fill="FFFFFF"/>
            <w:noWrap/>
            <w:vAlign w:val="bottom"/>
            <w:hideMark/>
          </w:tcPr>
          <w:p w14:paraId="6F4089AB"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single" w:sz="4" w:space="0" w:color="auto"/>
              <w:right w:val="nil"/>
            </w:tcBorders>
            <w:shd w:val="clear" w:color="000000" w:fill="FFFFFF"/>
            <w:vAlign w:val="bottom"/>
            <w:hideMark/>
          </w:tcPr>
          <w:p w14:paraId="19EE48A1"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2021</w:t>
            </w:r>
          </w:p>
        </w:tc>
      </w:tr>
      <w:tr w:rsidR="001655EA" w:rsidRPr="001655EA" w14:paraId="72015629" w14:textId="77777777" w:rsidTr="00182484">
        <w:trPr>
          <w:trHeight w:val="290"/>
        </w:trPr>
        <w:tc>
          <w:tcPr>
            <w:tcW w:w="3380" w:type="dxa"/>
            <w:tcBorders>
              <w:top w:val="nil"/>
              <w:left w:val="nil"/>
              <w:bottom w:val="nil"/>
              <w:right w:val="nil"/>
            </w:tcBorders>
            <w:shd w:val="clear" w:color="000000" w:fill="FFFFFF"/>
            <w:vAlign w:val="center"/>
            <w:hideMark/>
          </w:tcPr>
          <w:p w14:paraId="6F64F5EA" w14:textId="77777777" w:rsidR="001655EA" w:rsidRPr="001655EA" w:rsidRDefault="001655EA" w:rsidP="001655EA">
            <w:pPr>
              <w:ind w:right="0"/>
              <w:jc w:val="left"/>
              <w:rPr>
                <w:sz w:val="22"/>
                <w:szCs w:val="22"/>
                <w:lang w:val="es-419" w:eastAsia="es-419"/>
              </w:rPr>
            </w:pPr>
            <w:r w:rsidRPr="001655EA">
              <w:rPr>
                <w:sz w:val="22"/>
                <w:szCs w:val="22"/>
                <w:lang w:val="es-419" w:eastAsia="es-419"/>
              </w:rPr>
              <w:t>Entidades de Gobierno</w:t>
            </w:r>
          </w:p>
        </w:tc>
        <w:tc>
          <w:tcPr>
            <w:tcW w:w="250" w:type="dxa"/>
            <w:tcBorders>
              <w:top w:val="nil"/>
              <w:left w:val="nil"/>
              <w:bottom w:val="nil"/>
              <w:right w:val="nil"/>
            </w:tcBorders>
            <w:shd w:val="clear" w:color="000000" w:fill="FFFFFF"/>
            <w:noWrap/>
            <w:vAlign w:val="bottom"/>
            <w:hideMark/>
          </w:tcPr>
          <w:p w14:paraId="0F3B1091"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w:t>
            </w:r>
          </w:p>
        </w:tc>
        <w:tc>
          <w:tcPr>
            <w:tcW w:w="1245" w:type="dxa"/>
            <w:tcBorders>
              <w:top w:val="nil"/>
              <w:left w:val="nil"/>
              <w:bottom w:val="nil"/>
              <w:right w:val="nil"/>
            </w:tcBorders>
            <w:shd w:val="clear" w:color="auto" w:fill="auto"/>
            <w:vAlign w:val="bottom"/>
            <w:hideMark/>
          </w:tcPr>
          <w:p w14:paraId="67F73635"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54 403 </w:t>
            </w:r>
          </w:p>
        </w:tc>
        <w:tc>
          <w:tcPr>
            <w:tcW w:w="195" w:type="dxa"/>
            <w:tcBorders>
              <w:top w:val="nil"/>
              <w:left w:val="nil"/>
              <w:bottom w:val="nil"/>
              <w:right w:val="nil"/>
            </w:tcBorders>
            <w:shd w:val="clear" w:color="000000" w:fill="FFFFFF"/>
            <w:noWrap/>
            <w:vAlign w:val="bottom"/>
            <w:hideMark/>
          </w:tcPr>
          <w:p w14:paraId="11E77D8D"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78C84C15"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44 444 </w:t>
            </w:r>
          </w:p>
        </w:tc>
        <w:tc>
          <w:tcPr>
            <w:tcW w:w="300" w:type="dxa"/>
            <w:tcBorders>
              <w:top w:val="nil"/>
              <w:left w:val="nil"/>
              <w:bottom w:val="nil"/>
              <w:right w:val="nil"/>
            </w:tcBorders>
            <w:shd w:val="clear" w:color="000000" w:fill="FFFFFF"/>
            <w:noWrap/>
            <w:vAlign w:val="bottom"/>
            <w:hideMark/>
          </w:tcPr>
          <w:p w14:paraId="371BB4DF"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3CF69093"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6 935 </w:t>
            </w:r>
          </w:p>
        </w:tc>
        <w:tc>
          <w:tcPr>
            <w:tcW w:w="195" w:type="dxa"/>
            <w:tcBorders>
              <w:top w:val="nil"/>
              <w:left w:val="nil"/>
              <w:bottom w:val="nil"/>
              <w:right w:val="nil"/>
            </w:tcBorders>
            <w:shd w:val="clear" w:color="000000" w:fill="FFFFFF"/>
            <w:noWrap/>
            <w:vAlign w:val="bottom"/>
            <w:hideMark/>
          </w:tcPr>
          <w:p w14:paraId="5A152EC4"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79B00D76"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5 921 </w:t>
            </w:r>
          </w:p>
        </w:tc>
      </w:tr>
      <w:tr w:rsidR="001655EA" w:rsidRPr="001655EA" w14:paraId="13465E03" w14:textId="77777777" w:rsidTr="00182484">
        <w:trPr>
          <w:trHeight w:val="290"/>
        </w:trPr>
        <w:tc>
          <w:tcPr>
            <w:tcW w:w="3380" w:type="dxa"/>
            <w:tcBorders>
              <w:top w:val="nil"/>
              <w:left w:val="nil"/>
              <w:bottom w:val="nil"/>
              <w:right w:val="nil"/>
            </w:tcBorders>
            <w:shd w:val="clear" w:color="000000" w:fill="FFFFFF"/>
            <w:vAlign w:val="center"/>
            <w:hideMark/>
          </w:tcPr>
          <w:p w14:paraId="38534B1F"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Instituciones autónomas</w:t>
            </w:r>
          </w:p>
        </w:tc>
        <w:tc>
          <w:tcPr>
            <w:tcW w:w="250" w:type="dxa"/>
            <w:tcBorders>
              <w:top w:val="nil"/>
              <w:left w:val="nil"/>
              <w:bottom w:val="nil"/>
              <w:right w:val="nil"/>
            </w:tcBorders>
            <w:shd w:val="clear" w:color="000000" w:fill="FFFFFF"/>
            <w:vAlign w:val="center"/>
            <w:hideMark/>
          </w:tcPr>
          <w:p w14:paraId="6E75B136"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341C535D"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8 832 </w:t>
            </w:r>
          </w:p>
        </w:tc>
        <w:tc>
          <w:tcPr>
            <w:tcW w:w="195" w:type="dxa"/>
            <w:tcBorders>
              <w:top w:val="nil"/>
              <w:left w:val="nil"/>
              <w:bottom w:val="nil"/>
              <w:right w:val="nil"/>
            </w:tcBorders>
            <w:shd w:val="clear" w:color="000000" w:fill="FFFFFF"/>
            <w:noWrap/>
            <w:vAlign w:val="bottom"/>
            <w:hideMark/>
          </w:tcPr>
          <w:p w14:paraId="3DB6DC3F"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2B2C1EFA"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2 532 </w:t>
            </w:r>
          </w:p>
        </w:tc>
        <w:tc>
          <w:tcPr>
            <w:tcW w:w="300" w:type="dxa"/>
            <w:tcBorders>
              <w:top w:val="nil"/>
              <w:left w:val="nil"/>
              <w:bottom w:val="nil"/>
              <w:right w:val="nil"/>
            </w:tcBorders>
            <w:shd w:val="clear" w:color="000000" w:fill="FFFFFF"/>
            <w:noWrap/>
            <w:vAlign w:val="bottom"/>
            <w:hideMark/>
          </w:tcPr>
          <w:p w14:paraId="56AD183D"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4987B793"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c>
          <w:tcPr>
            <w:tcW w:w="195" w:type="dxa"/>
            <w:tcBorders>
              <w:top w:val="nil"/>
              <w:left w:val="nil"/>
              <w:bottom w:val="nil"/>
              <w:right w:val="nil"/>
            </w:tcBorders>
            <w:shd w:val="clear" w:color="000000" w:fill="FFFFFF"/>
            <w:noWrap/>
            <w:vAlign w:val="bottom"/>
            <w:hideMark/>
          </w:tcPr>
          <w:p w14:paraId="769A4CF4"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18872295"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r>
      <w:tr w:rsidR="001655EA" w:rsidRPr="001655EA" w14:paraId="07D072DC" w14:textId="77777777" w:rsidTr="00182484">
        <w:trPr>
          <w:trHeight w:val="290"/>
        </w:trPr>
        <w:tc>
          <w:tcPr>
            <w:tcW w:w="3380" w:type="dxa"/>
            <w:tcBorders>
              <w:top w:val="nil"/>
              <w:left w:val="nil"/>
              <w:bottom w:val="nil"/>
              <w:right w:val="nil"/>
            </w:tcBorders>
            <w:shd w:val="clear" w:color="000000" w:fill="FFFFFF"/>
            <w:vAlign w:val="center"/>
            <w:hideMark/>
          </w:tcPr>
          <w:p w14:paraId="0D914F31"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Otras entidades relacionadas</w:t>
            </w:r>
          </w:p>
        </w:tc>
        <w:tc>
          <w:tcPr>
            <w:tcW w:w="250" w:type="dxa"/>
            <w:tcBorders>
              <w:top w:val="nil"/>
              <w:left w:val="nil"/>
              <w:bottom w:val="nil"/>
              <w:right w:val="nil"/>
            </w:tcBorders>
            <w:shd w:val="clear" w:color="000000" w:fill="FFFFFF"/>
            <w:vAlign w:val="center"/>
            <w:hideMark/>
          </w:tcPr>
          <w:p w14:paraId="1A97C3D3"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4B4031E5"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3 840 </w:t>
            </w:r>
          </w:p>
        </w:tc>
        <w:tc>
          <w:tcPr>
            <w:tcW w:w="195" w:type="dxa"/>
            <w:tcBorders>
              <w:top w:val="nil"/>
              <w:left w:val="nil"/>
              <w:bottom w:val="nil"/>
              <w:right w:val="nil"/>
            </w:tcBorders>
            <w:shd w:val="clear" w:color="000000" w:fill="FFFFFF"/>
            <w:noWrap/>
            <w:vAlign w:val="bottom"/>
            <w:hideMark/>
          </w:tcPr>
          <w:p w14:paraId="78C6F987"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045F99FF"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c>
          <w:tcPr>
            <w:tcW w:w="300" w:type="dxa"/>
            <w:tcBorders>
              <w:top w:val="nil"/>
              <w:left w:val="nil"/>
              <w:bottom w:val="nil"/>
              <w:right w:val="nil"/>
            </w:tcBorders>
            <w:shd w:val="clear" w:color="000000" w:fill="FFFFFF"/>
            <w:noWrap/>
            <w:vAlign w:val="bottom"/>
            <w:hideMark/>
          </w:tcPr>
          <w:p w14:paraId="62A3791E"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346A578E"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c>
          <w:tcPr>
            <w:tcW w:w="195" w:type="dxa"/>
            <w:tcBorders>
              <w:top w:val="nil"/>
              <w:left w:val="nil"/>
              <w:bottom w:val="nil"/>
              <w:right w:val="nil"/>
            </w:tcBorders>
            <w:shd w:val="clear" w:color="000000" w:fill="FFFFFF"/>
            <w:noWrap/>
            <w:vAlign w:val="bottom"/>
            <w:hideMark/>
          </w:tcPr>
          <w:p w14:paraId="6EADAC63"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17BB4EF3"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r>
      <w:tr w:rsidR="001655EA" w:rsidRPr="001655EA" w14:paraId="37ADC53E" w14:textId="77777777" w:rsidTr="00182484">
        <w:trPr>
          <w:trHeight w:val="290"/>
        </w:trPr>
        <w:tc>
          <w:tcPr>
            <w:tcW w:w="3380" w:type="dxa"/>
            <w:tcBorders>
              <w:top w:val="nil"/>
              <w:left w:val="nil"/>
              <w:bottom w:val="nil"/>
              <w:right w:val="nil"/>
            </w:tcBorders>
            <w:shd w:val="clear" w:color="000000" w:fill="FFFFFF"/>
            <w:vAlign w:val="center"/>
            <w:hideMark/>
          </w:tcPr>
          <w:p w14:paraId="62D30656"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Empresa Propietaria de la Red, S.A.</w:t>
            </w:r>
          </w:p>
        </w:tc>
        <w:tc>
          <w:tcPr>
            <w:tcW w:w="250" w:type="dxa"/>
            <w:tcBorders>
              <w:top w:val="nil"/>
              <w:left w:val="nil"/>
              <w:bottom w:val="nil"/>
              <w:right w:val="nil"/>
            </w:tcBorders>
            <w:shd w:val="clear" w:color="000000" w:fill="FFFFFF"/>
            <w:vAlign w:val="center"/>
            <w:hideMark/>
          </w:tcPr>
          <w:p w14:paraId="54A6F5B8"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242D83F0"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1 672 </w:t>
            </w:r>
          </w:p>
        </w:tc>
        <w:tc>
          <w:tcPr>
            <w:tcW w:w="195" w:type="dxa"/>
            <w:tcBorders>
              <w:top w:val="nil"/>
              <w:left w:val="nil"/>
              <w:bottom w:val="nil"/>
              <w:right w:val="nil"/>
            </w:tcBorders>
            <w:shd w:val="clear" w:color="000000" w:fill="FFFFFF"/>
            <w:noWrap/>
            <w:vAlign w:val="bottom"/>
            <w:hideMark/>
          </w:tcPr>
          <w:p w14:paraId="012B5DD7"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nil"/>
              <w:left w:val="nil"/>
              <w:bottom w:val="nil"/>
              <w:right w:val="nil"/>
            </w:tcBorders>
            <w:shd w:val="clear" w:color="auto" w:fill="auto"/>
            <w:vAlign w:val="bottom"/>
            <w:hideMark/>
          </w:tcPr>
          <w:p w14:paraId="77BBB7CD"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6 673 </w:t>
            </w:r>
          </w:p>
        </w:tc>
        <w:tc>
          <w:tcPr>
            <w:tcW w:w="300" w:type="dxa"/>
            <w:tcBorders>
              <w:top w:val="nil"/>
              <w:left w:val="nil"/>
              <w:bottom w:val="nil"/>
              <w:right w:val="nil"/>
            </w:tcBorders>
            <w:shd w:val="clear" w:color="000000" w:fill="FFFFFF"/>
            <w:noWrap/>
            <w:vAlign w:val="bottom"/>
            <w:hideMark/>
          </w:tcPr>
          <w:p w14:paraId="7787243D"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16862BC7"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c>
          <w:tcPr>
            <w:tcW w:w="195" w:type="dxa"/>
            <w:tcBorders>
              <w:top w:val="nil"/>
              <w:left w:val="nil"/>
              <w:bottom w:val="nil"/>
              <w:right w:val="nil"/>
            </w:tcBorders>
            <w:shd w:val="clear" w:color="000000" w:fill="FFFFFF"/>
            <w:noWrap/>
            <w:vAlign w:val="bottom"/>
            <w:hideMark/>
          </w:tcPr>
          <w:p w14:paraId="344A2F42"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nil"/>
              <w:left w:val="nil"/>
              <w:bottom w:val="nil"/>
              <w:right w:val="nil"/>
            </w:tcBorders>
            <w:shd w:val="clear" w:color="auto" w:fill="auto"/>
            <w:vAlign w:val="bottom"/>
            <w:hideMark/>
          </w:tcPr>
          <w:p w14:paraId="1D03D923"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   </w:t>
            </w:r>
          </w:p>
        </w:tc>
      </w:tr>
      <w:tr w:rsidR="001655EA" w:rsidRPr="001655EA" w14:paraId="5FF3C00B" w14:textId="77777777" w:rsidTr="00182484">
        <w:trPr>
          <w:trHeight w:val="300"/>
        </w:trPr>
        <w:tc>
          <w:tcPr>
            <w:tcW w:w="3380" w:type="dxa"/>
            <w:tcBorders>
              <w:top w:val="nil"/>
              <w:left w:val="nil"/>
              <w:bottom w:val="nil"/>
              <w:right w:val="nil"/>
            </w:tcBorders>
            <w:shd w:val="clear" w:color="000000" w:fill="FFFFFF"/>
            <w:vAlign w:val="center"/>
            <w:hideMark/>
          </w:tcPr>
          <w:p w14:paraId="2074B7D6" w14:textId="77777777" w:rsidR="001655EA" w:rsidRPr="001655EA" w:rsidRDefault="001655EA" w:rsidP="001655EA">
            <w:pPr>
              <w:ind w:right="0"/>
              <w:jc w:val="left"/>
              <w:rPr>
                <w:b/>
                <w:bCs/>
                <w:color w:val="000000"/>
                <w:sz w:val="22"/>
                <w:szCs w:val="22"/>
                <w:lang w:val="es-419" w:eastAsia="es-419"/>
              </w:rPr>
            </w:pPr>
            <w:r w:rsidRPr="001655EA">
              <w:rPr>
                <w:b/>
                <w:bCs/>
                <w:color w:val="000000"/>
                <w:sz w:val="22"/>
                <w:szCs w:val="22"/>
                <w:lang w:val="es-419" w:eastAsia="es-419"/>
              </w:rPr>
              <w:t> </w:t>
            </w:r>
          </w:p>
        </w:tc>
        <w:tc>
          <w:tcPr>
            <w:tcW w:w="250" w:type="dxa"/>
            <w:tcBorders>
              <w:top w:val="nil"/>
              <w:left w:val="nil"/>
              <w:bottom w:val="nil"/>
              <w:right w:val="nil"/>
            </w:tcBorders>
            <w:shd w:val="clear" w:color="000000" w:fill="FFFFFF"/>
            <w:noWrap/>
            <w:vAlign w:val="bottom"/>
            <w:hideMark/>
          </w:tcPr>
          <w:p w14:paraId="38BD5E31"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w:t>
            </w:r>
          </w:p>
        </w:tc>
        <w:tc>
          <w:tcPr>
            <w:tcW w:w="1245" w:type="dxa"/>
            <w:tcBorders>
              <w:top w:val="single" w:sz="4" w:space="0" w:color="auto"/>
              <w:left w:val="nil"/>
              <w:bottom w:val="double" w:sz="6" w:space="0" w:color="auto"/>
              <w:right w:val="nil"/>
            </w:tcBorders>
            <w:shd w:val="clear" w:color="auto" w:fill="auto"/>
            <w:vAlign w:val="bottom"/>
            <w:hideMark/>
          </w:tcPr>
          <w:p w14:paraId="53D34249"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68 747 </w:t>
            </w:r>
          </w:p>
        </w:tc>
        <w:tc>
          <w:tcPr>
            <w:tcW w:w="195" w:type="dxa"/>
            <w:tcBorders>
              <w:top w:val="nil"/>
              <w:left w:val="nil"/>
              <w:bottom w:val="nil"/>
              <w:right w:val="nil"/>
            </w:tcBorders>
            <w:shd w:val="clear" w:color="000000" w:fill="FFFFFF"/>
            <w:noWrap/>
            <w:vAlign w:val="bottom"/>
            <w:hideMark/>
          </w:tcPr>
          <w:p w14:paraId="6AA2C51B"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single" w:sz="4" w:space="0" w:color="auto"/>
              <w:left w:val="nil"/>
              <w:bottom w:val="double" w:sz="6" w:space="0" w:color="auto"/>
              <w:right w:val="nil"/>
            </w:tcBorders>
            <w:shd w:val="clear" w:color="auto" w:fill="auto"/>
            <w:vAlign w:val="bottom"/>
            <w:hideMark/>
          </w:tcPr>
          <w:p w14:paraId="01708DCE"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53 649 </w:t>
            </w:r>
          </w:p>
        </w:tc>
        <w:tc>
          <w:tcPr>
            <w:tcW w:w="300" w:type="dxa"/>
            <w:tcBorders>
              <w:top w:val="nil"/>
              <w:left w:val="nil"/>
              <w:bottom w:val="nil"/>
              <w:right w:val="nil"/>
            </w:tcBorders>
            <w:shd w:val="clear" w:color="000000" w:fill="FFFFFF"/>
            <w:noWrap/>
            <w:vAlign w:val="bottom"/>
            <w:hideMark/>
          </w:tcPr>
          <w:p w14:paraId="55FCC804" w14:textId="77777777" w:rsidR="001655EA" w:rsidRPr="001655EA" w:rsidRDefault="001655EA" w:rsidP="001655EA">
            <w:pPr>
              <w:ind w:right="0"/>
              <w:jc w:val="left"/>
              <w:rPr>
                <w:color w:val="000000"/>
                <w:sz w:val="22"/>
                <w:szCs w:val="22"/>
                <w:lang w:val="es-419" w:eastAsia="es-419"/>
              </w:rPr>
            </w:pPr>
            <w:r w:rsidRPr="001655EA">
              <w:rPr>
                <w:color w:val="000000"/>
                <w:sz w:val="22"/>
                <w:szCs w:val="22"/>
                <w:lang w:val="es-419" w:eastAsia="es-419"/>
              </w:rPr>
              <w:t> </w:t>
            </w:r>
          </w:p>
        </w:tc>
        <w:tc>
          <w:tcPr>
            <w:tcW w:w="1245" w:type="dxa"/>
            <w:tcBorders>
              <w:top w:val="single" w:sz="4" w:space="0" w:color="auto"/>
              <w:left w:val="nil"/>
              <w:bottom w:val="double" w:sz="6" w:space="0" w:color="auto"/>
              <w:right w:val="nil"/>
            </w:tcBorders>
            <w:shd w:val="clear" w:color="auto" w:fill="auto"/>
            <w:vAlign w:val="bottom"/>
            <w:hideMark/>
          </w:tcPr>
          <w:p w14:paraId="5D92136D"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6 935 </w:t>
            </w:r>
          </w:p>
        </w:tc>
        <w:tc>
          <w:tcPr>
            <w:tcW w:w="195" w:type="dxa"/>
            <w:tcBorders>
              <w:top w:val="nil"/>
              <w:left w:val="nil"/>
              <w:bottom w:val="nil"/>
              <w:right w:val="nil"/>
            </w:tcBorders>
            <w:shd w:val="clear" w:color="000000" w:fill="FFFFFF"/>
            <w:noWrap/>
            <w:vAlign w:val="bottom"/>
            <w:hideMark/>
          </w:tcPr>
          <w:p w14:paraId="480016F6" w14:textId="77777777" w:rsidR="001655EA" w:rsidRPr="001655EA" w:rsidRDefault="001655EA" w:rsidP="001655EA">
            <w:pPr>
              <w:ind w:right="0"/>
              <w:jc w:val="left"/>
              <w:rPr>
                <w:sz w:val="22"/>
                <w:szCs w:val="22"/>
                <w:lang w:val="es-419" w:eastAsia="es-419"/>
              </w:rPr>
            </w:pPr>
            <w:r w:rsidRPr="001655EA">
              <w:rPr>
                <w:sz w:val="22"/>
                <w:szCs w:val="22"/>
                <w:lang w:val="es-419" w:eastAsia="es-419"/>
              </w:rPr>
              <w:t> </w:t>
            </w:r>
          </w:p>
        </w:tc>
        <w:tc>
          <w:tcPr>
            <w:tcW w:w="1245" w:type="dxa"/>
            <w:tcBorders>
              <w:top w:val="single" w:sz="4" w:space="0" w:color="auto"/>
              <w:left w:val="nil"/>
              <w:bottom w:val="double" w:sz="6" w:space="0" w:color="auto"/>
              <w:right w:val="nil"/>
            </w:tcBorders>
            <w:shd w:val="clear" w:color="auto" w:fill="auto"/>
            <w:vAlign w:val="bottom"/>
            <w:hideMark/>
          </w:tcPr>
          <w:p w14:paraId="467DB774" w14:textId="77777777" w:rsidR="001655EA" w:rsidRPr="001655EA" w:rsidRDefault="001655EA" w:rsidP="001655EA">
            <w:pPr>
              <w:ind w:right="0"/>
              <w:jc w:val="center"/>
              <w:rPr>
                <w:color w:val="000000"/>
                <w:sz w:val="22"/>
                <w:szCs w:val="22"/>
                <w:lang w:val="es-419" w:eastAsia="es-419"/>
              </w:rPr>
            </w:pPr>
            <w:r w:rsidRPr="001655EA">
              <w:rPr>
                <w:color w:val="000000"/>
                <w:sz w:val="22"/>
                <w:szCs w:val="22"/>
                <w:lang w:val="es-419" w:eastAsia="es-419"/>
              </w:rPr>
              <w:t xml:space="preserve">         5 921 </w:t>
            </w:r>
          </w:p>
        </w:tc>
      </w:tr>
    </w:tbl>
    <w:p w14:paraId="3AD4468D" w14:textId="77777777" w:rsidR="00A65F5F" w:rsidRPr="00F87F5E" w:rsidRDefault="00A65F5F" w:rsidP="00EF0D70">
      <w:pPr>
        <w:pStyle w:val="Ttulo2"/>
        <w:numPr>
          <w:ilvl w:val="1"/>
          <w:numId w:val="56"/>
        </w:numPr>
      </w:pPr>
      <w:bookmarkStart w:id="3661" w:name="_Toc304737252"/>
      <w:bookmarkStart w:id="3662" w:name="_Toc343676090"/>
      <w:bookmarkStart w:id="3663" w:name="_Toc358619453"/>
      <w:bookmarkStart w:id="3664" w:name="_Toc358620718"/>
      <w:bookmarkStart w:id="3665" w:name="_Toc358621925"/>
      <w:bookmarkStart w:id="3666" w:name="_Toc358622902"/>
      <w:bookmarkStart w:id="3667" w:name="_Toc26357185"/>
      <w:bookmarkStart w:id="3668" w:name="_Toc138664973"/>
      <w:r>
        <w:t>P</w:t>
      </w:r>
      <w:r w:rsidRPr="00F87F5E">
        <w:t>articipaciones significativas</w:t>
      </w:r>
      <w:bookmarkEnd w:id="3661"/>
      <w:bookmarkEnd w:id="3662"/>
      <w:bookmarkEnd w:id="3663"/>
      <w:bookmarkEnd w:id="3664"/>
      <w:bookmarkEnd w:id="3665"/>
      <w:bookmarkEnd w:id="3666"/>
      <w:bookmarkEnd w:id="3667"/>
      <w:bookmarkEnd w:id="3668"/>
    </w:p>
    <w:p w14:paraId="7CA35F3E" w14:textId="77777777" w:rsidR="00A65F5F" w:rsidRPr="00670E95" w:rsidRDefault="00A65F5F" w:rsidP="00A65F5F">
      <w:pPr>
        <w:ind w:left="-540" w:right="-25"/>
      </w:pPr>
    </w:p>
    <w:p w14:paraId="2289CD6E" w14:textId="77777777" w:rsidR="00A65F5F" w:rsidRPr="00670E95" w:rsidRDefault="00A65F5F" w:rsidP="00A65F5F">
      <w:pPr>
        <w:ind w:left="-540" w:right="-25"/>
      </w:pPr>
      <w:r>
        <w:t>El ICE es una entidad autónoma que pertenece 100% al Estado costarricense</w:t>
      </w:r>
      <w:r w:rsidRPr="00670E95">
        <w:t>.</w:t>
      </w:r>
    </w:p>
    <w:p w14:paraId="1B9AAAD6" w14:textId="77777777" w:rsidR="00A65F5F" w:rsidRPr="00F87F5E" w:rsidRDefault="00A65F5F" w:rsidP="00EF0D70">
      <w:pPr>
        <w:pStyle w:val="Ttulo2"/>
        <w:numPr>
          <w:ilvl w:val="1"/>
          <w:numId w:val="56"/>
        </w:numPr>
      </w:pPr>
      <w:bookmarkStart w:id="3669" w:name="_Toc304737253"/>
      <w:bookmarkStart w:id="3670" w:name="_Toc343676091"/>
      <w:bookmarkStart w:id="3671" w:name="_Toc358619454"/>
      <w:bookmarkStart w:id="3672" w:name="_Toc358620719"/>
      <w:bookmarkStart w:id="3673" w:name="_Toc358621926"/>
      <w:bookmarkStart w:id="3674" w:name="_Toc358622903"/>
      <w:bookmarkStart w:id="3675" w:name="_Toc26357186"/>
      <w:bookmarkStart w:id="3676" w:name="_Toc138664974"/>
      <w:r w:rsidRPr="00F87F5E">
        <w:t>Participaciones de asesores y consejeros</w:t>
      </w:r>
      <w:bookmarkEnd w:id="3669"/>
      <w:bookmarkEnd w:id="3670"/>
      <w:bookmarkEnd w:id="3671"/>
      <w:bookmarkEnd w:id="3672"/>
      <w:bookmarkEnd w:id="3673"/>
      <w:bookmarkEnd w:id="3674"/>
      <w:bookmarkEnd w:id="3675"/>
      <w:bookmarkEnd w:id="3676"/>
    </w:p>
    <w:p w14:paraId="54FAB950" w14:textId="77777777" w:rsidR="00A65F5F" w:rsidRPr="00670E95" w:rsidRDefault="00A65F5F" w:rsidP="00A65F5F">
      <w:pPr>
        <w:ind w:left="-540" w:right="-25"/>
      </w:pPr>
      <w:r w:rsidRPr="00F12839">
        <w:t xml:space="preserve">Ninguno de </w:t>
      </w:r>
      <w:r>
        <w:t xml:space="preserve">los </w:t>
      </w:r>
      <w:r w:rsidRPr="00F12839">
        <w:t xml:space="preserve">directores o gerentes </w:t>
      </w:r>
      <w:r>
        <w:t xml:space="preserve">del ICE </w:t>
      </w:r>
      <w:r w:rsidRPr="00F12839">
        <w:t xml:space="preserve">han prestado servicios a título personal, ni son accionistas ni socios de alguna persona jurídica, que le haya prestado servicios </w:t>
      </w:r>
      <w:r>
        <w:t>al ICE</w:t>
      </w:r>
      <w:r w:rsidRPr="00F12839">
        <w:t xml:space="preserve"> para la inscripción de los títulos valores</w:t>
      </w:r>
      <w:r w:rsidRPr="00670E95">
        <w:t>.</w:t>
      </w:r>
      <w:r>
        <w:t xml:space="preserve">  El ICE no tiene socios ni accionistas comunes adicionales al Estado en su estructura patrimonial.</w:t>
      </w:r>
    </w:p>
    <w:p w14:paraId="31A40C47" w14:textId="77777777" w:rsidR="00A65F5F" w:rsidRDefault="00A65F5F" w:rsidP="00A65F5F">
      <w:pPr>
        <w:ind w:left="-540" w:right="-25"/>
      </w:pPr>
    </w:p>
    <w:p w14:paraId="7D77CDF1" w14:textId="77777777" w:rsidR="00A65F5F" w:rsidRDefault="00A65F5F" w:rsidP="00A65F5F">
      <w:pPr>
        <w:ind w:left="-540" w:right="-25"/>
      </w:pPr>
      <w:r>
        <w:t>De conformidad con el artículo 11 de la Constitución Política, los artículos 11 y 113 de la Ley General de la Administración Pública, Nº 6227, el artículo 13 inciso a) de la Ley de Control Interno Nº 8292, expresamente en los artículos 3 y 48 de la Ley contra la Corrupción y el Enriquecimiento Ilícito en la Función Pública Nº 8422 y las Directrices Generales sobre Principios y Enunciados Éticos a observar por parte de los jerarcas, titulares subordinados, funcionarios de la Contraloría General de la República, auditorías internas y servidores públicos en general” Nº D-2-2004-CO emitidas por la Contraloría General de la República,  no está permitido a  los funcionarios públicos votar propuestas, arreglos o contratos en los que tenga interés o impliquen una compensación para sí mismo, incluso la legislación o administración en provecho propio está tipificada como delito en el artículo 48 de la Ley Nº 8422.</w:t>
      </w:r>
    </w:p>
    <w:p w14:paraId="782481B2" w14:textId="77777777" w:rsidR="00A65F5F" w:rsidRDefault="00A65F5F" w:rsidP="00A65F5F">
      <w:pPr>
        <w:ind w:left="-540" w:right="-25"/>
      </w:pPr>
      <w:r>
        <w:t>En concordancia con la legislación citada, a nivel institucional el Reglamento Interno del Consejo Directivo, aprobado por el Consejo Directivo, en el artículo noveno de la sesión celebrada el nueve de diciembre del dos mil ocho, en su artículo 5  inciso 7) estipula como deber de los miembros del Consejo Directivo el abstenerse de votar en asuntos en donde tenga interés directo él o algún familiar conforme lo determina la ley.</w:t>
      </w:r>
    </w:p>
    <w:p w14:paraId="2B908047" w14:textId="77777777" w:rsidR="00A65F5F" w:rsidRDefault="00A65F5F" w:rsidP="00A65F5F">
      <w:pPr>
        <w:ind w:left="-540" w:right="-25"/>
      </w:pPr>
    </w:p>
    <w:p w14:paraId="6195EBF2" w14:textId="77777777" w:rsidR="00A65F5F" w:rsidRPr="00670E95" w:rsidRDefault="00A65F5F" w:rsidP="00A65F5F">
      <w:pPr>
        <w:ind w:left="-540" w:right="-25"/>
      </w:pPr>
      <w:r>
        <w:t>En el mismo sentido, la Declaración de Principios Éticos del ICE y todas sus empresas subsidiarias, aprobada por el Consejo Directivo en la Sesión 5876 del 28 de junio del 2005, articulo 21,  establece el deber de evitar participar en situaciones en las que los intereses personales pudiesen entrar en conflicto con los intereses del ICE, CNFL y RACSA y que todas las decisiones se adoptan en función de los mejores intereses para éstas y de la sociedad costarricense.</w:t>
      </w:r>
    </w:p>
    <w:p w14:paraId="6DCDACDF" w14:textId="3A0C071D" w:rsidR="00A65F5F" w:rsidRPr="00424925" w:rsidRDefault="00A65F5F" w:rsidP="00FF3B96">
      <w:pPr>
        <w:ind w:left="-540" w:right="-25"/>
      </w:pPr>
      <w:r w:rsidRPr="00670E95">
        <w:t xml:space="preserve"> </w:t>
      </w:r>
      <w:bookmarkStart w:id="3677" w:name="_Toc226807288"/>
      <w:bookmarkStart w:id="3678" w:name="_Toc226807402"/>
      <w:bookmarkStart w:id="3679" w:name="_Toc226807516"/>
      <w:bookmarkStart w:id="3680" w:name="_Toc226807627"/>
      <w:bookmarkStart w:id="3681" w:name="_Toc226808514"/>
      <w:bookmarkStart w:id="3682" w:name="_Toc226808625"/>
      <w:bookmarkStart w:id="3683" w:name="_Toc226809138"/>
      <w:bookmarkStart w:id="3684" w:name="_Toc226809248"/>
      <w:bookmarkStart w:id="3685" w:name="_Toc226809359"/>
      <w:bookmarkStart w:id="3686" w:name="_Toc226809469"/>
      <w:bookmarkStart w:id="3687" w:name="_Toc226809574"/>
      <w:bookmarkStart w:id="3688" w:name="_Toc226809891"/>
      <w:bookmarkStart w:id="3689" w:name="_Toc226810138"/>
      <w:bookmarkStart w:id="3690" w:name="_Toc304737254"/>
      <w:bookmarkStart w:id="3691" w:name="_Toc343676092"/>
      <w:bookmarkStart w:id="3692" w:name="_Toc358619455"/>
      <w:bookmarkStart w:id="3693" w:name="_Toc358620720"/>
      <w:bookmarkStart w:id="3694" w:name="_Toc358621927"/>
      <w:bookmarkStart w:id="3695" w:name="_Toc358622904"/>
      <w:bookmarkStart w:id="3696" w:name="_Toc26357187"/>
      <w:bookmarkEnd w:id="3677"/>
      <w:bookmarkEnd w:id="3678"/>
      <w:bookmarkEnd w:id="3679"/>
      <w:bookmarkEnd w:id="3680"/>
      <w:bookmarkEnd w:id="3681"/>
      <w:bookmarkEnd w:id="3682"/>
      <w:bookmarkEnd w:id="3683"/>
      <w:bookmarkEnd w:id="3684"/>
      <w:bookmarkEnd w:id="3685"/>
      <w:bookmarkEnd w:id="3686"/>
      <w:bookmarkEnd w:id="3687"/>
      <w:bookmarkEnd w:id="3688"/>
      <w:bookmarkEnd w:id="3689"/>
      <w:r w:rsidRPr="00F87F5E">
        <w:t>Información financiera</w:t>
      </w:r>
      <w:bookmarkStart w:id="3697" w:name="_Toc191377660"/>
      <w:bookmarkStart w:id="3698" w:name="_Toc192577407"/>
      <w:bookmarkStart w:id="3699" w:name="_Toc192591281"/>
      <w:bookmarkStart w:id="3700" w:name="_Toc192925789"/>
      <w:bookmarkStart w:id="3701" w:name="_Toc192925876"/>
      <w:bookmarkStart w:id="3702" w:name="_Toc192933532"/>
      <w:bookmarkStart w:id="3703" w:name="_Toc192933763"/>
      <w:bookmarkStart w:id="3704" w:name="_Toc193006345"/>
      <w:bookmarkStart w:id="3705" w:name="_Toc193006436"/>
      <w:bookmarkStart w:id="3706" w:name="_Toc193006526"/>
      <w:bookmarkStart w:id="3707" w:name="_Toc193006616"/>
      <w:bookmarkStart w:id="3708" w:name="_Toc193006706"/>
      <w:bookmarkStart w:id="3709" w:name="_Toc193006795"/>
      <w:bookmarkStart w:id="3710" w:name="_Toc193114088"/>
      <w:bookmarkStart w:id="3711" w:name="_Toc193185732"/>
      <w:bookmarkStart w:id="3712" w:name="_Toc193188619"/>
      <w:bookmarkStart w:id="3713" w:name="_Toc193200071"/>
      <w:bookmarkStart w:id="3714" w:name="_Toc197158933"/>
      <w:bookmarkStart w:id="3715" w:name="_Toc197160196"/>
      <w:bookmarkStart w:id="3716" w:name="_Toc197235661"/>
      <w:bookmarkStart w:id="3717" w:name="_Toc197235999"/>
      <w:bookmarkStart w:id="3718" w:name="_Toc199652880"/>
      <w:bookmarkStart w:id="3719" w:name="_Toc200335877"/>
      <w:bookmarkStart w:id="3720" w:name="_Toc206844835"/>
      <w:bookmarkStart w:id="3721" w:name="_Toc206905698"/>
      <w:bookmarkStart w:id="3722" w:name="_Toc207095808"/>
      <w:bookmarkStart w:id="3723" w:name="_Toc207098193"/>
      <w:bookmarkStart w:id="3724" w:name="_Toc207098386"/>
      <w:bookmarkStart w:id="3725" w:name="_Toc207098583"/>
      <w:bookmarkStart w:id="3726" w:name="_Toc207098683"/>
      <w:bookmarkStart w:id="3727" w:name="_Toc207098782"/>
      <w:bookmarkStart w:id="3728" w:name="_Toc207103443"/>
      <w:bookmarkStart w:id="3729" w:name="_Toc207178830"/>
      <w:bookmarkStart w:id="3730" w:name="_Toc208394710"/>
      <w:bookmarkStart w:id="3731" w:name="_Toc210618921"/>
      <w:bookmarkStart w:id="3732" w:name="_Toc210619203"/>
      <w:bookmarkStart w:id="3733" w:name="_Toc210619430"/>
      <w:bookmarkStart w:id="3734" w:name="_Toc210619938"/>
      <w:bookmarkStart w:id="3735" w:name="_Toc222025494"/>
      <w:bookmarkStart w:id="3736" w:name="_Toc222030430"/>
      <w:bookmarkStart w:id="3737" w:name="_Toc222135061"/>
      <w:bookmarkStart w:id="3738" w:name="_Toc222675482"/>
      <w:bookmarkStart w:id="3739" w:name="_Toc222828450"/>
      <w:bookmarkStart w:id="3740" w:name="_Toc222828547"/>
      <w:bookmarkStart w:id="3741" w:name="_Toc222887760"/>
      <w:bookmarkStart w:id="3742" w:name="_Toc222912226"/>
      <w:bookmarkStart w:id="3743" w:name="_Toc222915285"/>
      <w:bookmarkStart w:id="3744" w:name="_Toc222915379"/>
      <w:bookmarkStart w:id="3745" w:name="_Toc222919761"/>
      <w:bookmarkStart w:id="3746" w:name="_Toc222919855"/>
      <w:bookmarkStart w:id="3747" w:name="_Toc222919950"/>
      <w:bookmarkStart w:id="3748" w:name="_Toc222920253"/>
      <w:bookmarkStart w:id="3749" w:name="_Toc223164605"/>
      <w:bookmarkStart w:id="3750" w:name="_Toc223176038"/>
      <w:bookmarkStart w:id="3751" w:name="_Toc223337164"/>
      <w:bookmarkStart w:id="3752" w:name="_Toc223337257"/>
      <w:bookmarkStart w:id="3753" w:name="_Toc223342250"/>
      <w:bookmarkStart w:id="3754" w:name="_Toc223357615"/>
      <w:bookmarkStart w:id="3755" w:name="_Toc223357706"/>
      <w:bookmarkStart w:id="3756" w:name="_Toc223491480"/>
      <w:bookmarkStart w:id="3757" w:name="_Toc225051410"/>
      <w:bookmarkStart w:id="3758" w:name="_Toc225073500"/>
      <w:bookmarkStart w:id="3759" w:name="_Toc225078448"/>
      <w:bookmarkStart w:id="3760" w:name="_Toc225078539"/>
      <w:bookmarkStart w:id="3761" w:name="_Toc225079380"/>
      <w:bookmarkStart w:id="3762" w:name="_Toc225149006"/>
      <w:bookmarkStart w:id="3763" w:name="_Toc225149097"/>
      <w:bookmarkStart w:id="3764" w:name="_Toc225149188"/>
      <w:bookmarkStart w:id="3765" w:name="_Toc225154756"/>
      <w:bookmarkStart w:id="3766" w:name="_Toc225156270"/>
      <w:bookmarkStart w:id="3767" w:name="_Toc225160939"/>
      <w:bookmarkStart w:id="3768" w:name="_Toc225223179"/>
      <w:bookmarkStart w:id="3769" w:name="_Toc225241420"/>
      <w:bookmarkStart w:id="3770" w:name="_Toc225242805"/>
      <w:bookmarkStart w:id="3771" w:name="_Toc225242897"/>
      <w:bookmarkStart w:id="3772" w:name="_Toc225307403"/>
      <w:bookmarkStart w:id="3773" w:name="_Toc225307495"/>
      <w:bookmarkStart w:id="3774" w:name="_Toc225912399"/>
      <w:bookmarkStart w:id="3775" w:name="_Toc225912507"/>
      <w:bookmarkStart w:id="3776" w:name="_Toc225912599"/>
      <w:bookmarkStart w:id="3777" w:name="_Toc225912723"/>
      <w:bookmarkStart w:id="3778" w:name="_Toc225912815"/>
      <w:bookmarkStart w:id="3779" w:name="_Toc225912907"/>
      <w:bookmarkStart w:id="3780" w:name="_Toc225912999"/>
      <w:bookmarkStart w:id="3781" w:name="_Toc225913092"/>
      <w:bookmarkStart w:id="3782" w:name="_Toc225913257"/>
      <w:bookmarkStart w:id="3783" w:name="_Toc225913358"/>
      <w:bookmarkStart w:id="3784" w:name="_Toc225913578"/>
      <w:bookmarkStart w:id="3785" w:name="_Toc225913784"/>
      <w:bookmarkStart w:id="3786" w:name="_Toc225913880"/>
      <w:bookmarkStart w:id="3787" w:name="_Toc225913976"/>
      <w:bookmarkStart w:id="3788" w:name="_Toc225914072"/>
      <w:bookmarkStart w:id="3789" w:name="_Toc225914168"/>
      <w:bookmarkStart w:id="3790" w:name="_Toc225914295"/>
      <w:bookmarkStart w:id="3791" w:name="_Toc225914391"/>
      <w:bookmarkStart w:id="3792" w:name="_Toc225914665"/>
      <w:bookmarkStart w:id="3793" w:name="_Toc225914761"/>
      <w:bookmarkStart w:id="3794" w:name="_Toc225914858"/>
      <w:bookmarkStart w:id="3795" w:name="_Toc225914956"/>
      <w:bookmarkStart w:id="3796" w:name="_Toc225915053"/>
      <w:bookmarkStart w:id="3797" w:name="_Toc225915151"/>
      <w:bookmarkStart w:id="3798" w:name="_Toc225921519"/>
      <w:bookmarkStart w:id="3799" w:name="_Toc226779703"/>
      <w:bookmarkStart w:id="3800" w:name="_Toc226807290"/>
      <w:bookmarkStart w:id="3801" w:name="_Toc226807404"/>
      <w:bookmarkStart w:id="3802" w:name="_Toc226807518"/>
      <w:bookmarkStart w:id="3803" w:name="_Toc226807629"/>
      <w:bookmarkStart w:id="3804" w:name="_Toc226808516"/>
      <w:bookmarkStart w:id="3805" w:name="_Toc226808627"/>
      <w:bookmarkStart w:id="3806" w:name="_Toc229150809"/>
      <w:bookmarkStart w:id="3807" w:name="_Toc231981252"/>
      <w:bookmarkStart w:id="3808" w:name="_Toc234672941"/>
      <w:bookmarkStart w:id="3809" w:name="_Toc234673051"/>
      <w:bookmarkStart w:id="3810" w:name="_Toc234673160"/>
      <w:bookmarkStart w:id="3811" w:name="_Toc234673269"/>
      <w:bookmarkStart w:id="3812" w:name="_Toc234673378"/>
      <w:bookmarkStart w:id="3813" w:name="_Toc234673597"/>
      <w:bookmarkStart w:id="3814" w:name="_Toc234673707"/>
      <w:bookmarkStart w:id="3815" w:name="_Toc234744123"/>
      <w:bookmarkStart w:id="3816" w:name="_Toc234744337"/>
      <w:bookmarkStart w:id="3817" w:name="_Toc234750767"/>
      <w:bookmarkStart w:id="3818" w:name="_Toc234750879"/>
      <w:bookmarkStart w:id="3819" w:name="_Toc234923971"/>
      <w:bookmarkStart w:id="3820" w:name="_Toc234925893"/>
      <w:bookmarkStart w:id="3821" w:name="_Toc235615326"/>
      <w:bookmarkStart w:id="3822" w:name="_Toc235616815"/>
      <w:bookmarkStart w:id="3823" w:name="_Toc235857063"/>
      <w:bookmarkStart w:id="3824" w:name="_Toc237334761"/>
      <w:bookmarkStart w:id="3825" w:name="_Toc237919714"/>
      <w:bookmarkStart w:id="3826" w:name="_Toc238276638"/>
      <w:bookmarkStart w:id="3827" w:name="_Toc238869581"/>
      <w:bookmarkStart w:id="3828" w:name="_Toc238873134"/>
      <w:bookmarkStart w:id="3829" w:name="_Toc238873507"/>
      <w:bookmarkStart w:id="3830" w:name="_Toc238877044"/>
      <w:bookmarkStart w:id="3831" w:name="_Toc240107413"/>
      <w:bookmarkStart w:id="3832" w:name="_Toc240159644"/>
      <w:bookmarkStart w:id="3833" w:name="_Toc240159796"/>
      <w:bookmarkStart w:id="3834" w:name="_Toc240255834"/>
      <w:bookmarkStart w:id="3835" w:name="_Toc240267738"/>
      <w:bookmarkStart w:id="3836" w:name="_Toc240267849"/>
      <w:bookmarkStart w:id="3837" w:name="_Toc240268242"/>
      <w:bookmarkStart w:id="3838" w:name="_Toc240268497"/>
      <w:bookmarkStart w:id="3839" w:name="_Toc240268610"/>
      <w:bookmarkStart w:id="3840" w:name="_Toc240268721"/>
      <w:bookmarkStart w:id="3841" w:name="_Toc240454312"/>
      <w:bookmarkStart w:id="3842" w:name="_Toc240697997"/>
      <w:bookmarkStart w:id="3843" w:name="_Toc258937799"/>
      <w:bookmarkStart w:id="3844" w:name="_Toc261418449"/>
      <w:bookmarkStart w:id="3845" w:name="_Toc261458633"/>
      <w:bookmarkStart w:id="3846" w:name="_Toc261459021"/>
      <w:bookmarkStart w:id="3847" w:name="_Toc262203343"/>
      <w:bookmarkStart w:id="3848" w:name="_Toc262218680"/>
      <w:bookmarkStart w:id="3849" w:name="_Toc262319136"/>
      <w:bookmarkStart w:id="3850" w:name="_Toc262459030"/>
      <w:bookmarkStart w:id="3851" w:name="_Toc262459884"/>
      <w:bookmarkStart w:id="3852" w:name="_Toc262460299"/>
      <w:bookmarkStart w:id="3853" w:name="_Toc262460426"/>
      <w:bookmarkStart w:id="3854" w:name="_Toc262460553"/>
      <w:bookmarkStart w:id="3855" w:name="_Toc262481049"/>
      <w:bookmarkStart w:id="3856" w:name="_Toc262483238"/>
      <w:bookmarkStart w:id="3857" w:name="_Toc262483372"/>
      <w:bookmarkStart w:id="3858" w:name="_Toc262483509"/>
      <w:bookmarkStart w:id="3859" w:name="_Toc262483645"/>
      <w:bookmarkStart w:id="3860" w:name="_Toc262483780"/>
      <w:bookmarkStart w:id="3861" w:name="_Toc262483915"/>
      <w:bookmarkStart w:id="3862" w:name="_Toc304736467"/>
      <w:bookmarkStart w:id="3863" w:name="_Toc304736701"/>
      <w:bookmarkStart w:id="3864" w:name="_Toc304736949"/>
      <w:bookmarkStart w:id="3865" w:name="_Toc304737255"/>
      <w:bookmarkStart w:id="3866" w:name="_Toc326700951"/>
      <w:bookmarkStart w:id="3867" w:name="_Toc326701589"/>
      <w:bookmarkStart w:id="3868" w:name="_Toc326730935"/>
      <w:bookmarkStart w:id="3869" w:name="_Toc326731121"/>
      <w:bookmarkStart w:id="3870" w:name="_Toc326731619"/>
      <w:bookmarkStart w:id="3871" w:name="_Toc326732531"/>
      <w:bookmarkStart w:id="3872" w:name="_Toc326734262"/>
      <w:bookmarkStart w:id="3873" w:name="_Toc326735211"/>
      <w:bookmarkStart w:id="3874" w:name="_Toc326735522"/>
      <w:bookmarkStart w:id="3875" w:name="_Toc343676093"/>
      <w:bookmarkStart w:id="3876" w:name="_Toc358619456"/>
      <w:bookmarkStart w:id="3877" w:name="_Toc358620721"/>
      <w:bookmarkStart w:id="3878" w:name="_Toc358621928"/>
      <w:bookmarkStart w:id="3879" w:name="_Toc358622905"/>
      <w:bookmarkStart w:id="3880" w:name="_Toc358623033"/>
      <w:bookmarkStart w:id="3881" w:name="_Toc390247963"/>
      <w:bookmarkStart w:id="3882" w:name="_Toc421258474"/>
      <w:bookmarkStart w:id="3883" w:name="_Toc421264542"/>
      <w:bookmarkStart w:id="3884" w:name="_Toc421264786"/>
      <w:bookmarkStart w:id="3885" w:name="_Toc421265101"/>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14:paraId="066DCFEA" w14:textId="3D420B48" w:rsidR="00A65F5F" w:rsidRPr="00670E95" w:rsidRDefault="00A65F5F" w:rsidP="00657E7D">
      <w:pPr>
        <w:pStyle w:val="Ttulo1"/>
        <w:numPr>
          <w:ilvl w:val="0"/>
          <w:numId w:val="55"/>
        </w:numPr>
      </w:pPr>
      <w:bookmarkStart w:id="3886" w:name="_Toc304737256"/>
      <w:bookmarkStart w:id="3887" w:name="_Toc343676094"/>
      <w:bookmarkStart w:id="3888" w:name="_Toc358619457"/>
      <w:bookmarkStart w:id="3889" w:name="_Toc358620722"/>
      <w:bookmarkStart w:id="3890" w:name="_Toc358621929"/>
      <w:bookmarkStart w:id="3891" w:name="_Toc358622906"/>
      <w:bookmarkStart w:id="3892" w:name="_Toc26357188"/>
      <w:r>
        <w:t xml:space="preserve"> </w:t>
      </w:r>
      <w:bookmarkStart w:id="3893" w:name="_Toc138664975"/>
      <w:r w:rsidRPr="00670E95">
        <w:t>Periodicidad de la información a los inversionistas</w:t>
      </w:r>
      <w:bookmarkEnd w:id="3886"/>
      <w:bookmarkEnd w:id="3887"/>
      <w:bookmarkEnd w:id="3888"/>
      <w:bookmarkEnd w:id="3889"/>
      <w:bookmarkEnd w:id="3890"/>
      <w:bookmarkEnd w:id="3891"/>
      <w:bookmarkEnd w:id="3892"/>
      <w:bookmarkEnd w:id="3893"/>
    </w:p>
    <w:p w14:paraId="3DCE02E0" w14:textId="77777777" w:rsidR="00A65F5F" w:rsidRPr="00670E95" w:rsidRDefault="00A65F5F" w:rsidP="00A65F5F">
      <w:pPr>
        <w:ind w:left="-540" w:right="-25"/>
      </w:pPr>
    </w:p>
    <w:p w14:paraId="23510E10" w14:textId="77777777" w:rsidR="00A65F5F" w:rsidRPr="00670E95" w:rsidRDefault="00A65F5F" w:rsidP="00A65F5F">
      <w:pPr>
        <w:ind w:left="-540" w:right="-25"/>
      </w:pPr>
      <w:r w:rsidRPr="00670E95">
        <w:t xml:space="preserve">Señor inversionista, la siguiente información sobre el </w:t>
      </w:r>
      <w:r>
        <w:t>ICE</w:t>
      </w:r>
      <w:r w:rsidRPr="00670E95">
        <w:t xml:space="preserve"> y su situación financiera estará disponible a su disposición en la empresa emisora y en la Superintendencia General de Valores:</w:t>
      </w:r>
    </w:p>
    <w:p w14:paraId="7795489C" w14:textId="77777777" w:rsidR="00A65F5F" w:rsidRPr="00670E95" w:rsidRDefault="00A65F5F" w:rsidP="00A65F5F">
      <w:pPr>
        <w:ind w:left="-540" w:right="-25"/>
      </w:pPr>
    </w:p>
    <w:p w14:paraId="350F8FD8" w14:textId="77777777" w:rsidR="00A65F5F" w:rsidRPr="00670E95" w:rsidRDefault="00A65F5F" w:rsidP="00A65F5F">
      <w:pPr>
        <w:pStyle w:val="Prrafodelista"/>
        <w:numPr>
          <w:ilvl w:val="0"/>
          <w:numId w:val="2"/>
        </w:numPr>
        <w:ind w:left="0" w:right="-25" w:hanging="180"/>
      </w:pPr>
      <w:r w:rsidRPr="00670E95">
        <w:t xml:space="preserve">Hechos relevantes en el momento en que el </w:t>
      </w:r>
      <w:r>
        <w:t>ICE</w:t>
      </w:r>
      <w:r w:rsidRPr="00670E95">
        <w:t xml:space="preserve"> tenga conocimiento de los mismos y los hará del conocimiento público. </w:t>
      </w:r>
    </w:p>
    <w:p w14:paraId="310E1F05" w14:textId="77777777" w:rsidR="00A65F5F" w:rsidRPr="00670E95" w:rsidRDefault="00A65F5F" w:rsidP="00A65F5F">
      <w:pPr>
        <w:pStyle w:val="Prrafodelista"/>
        <w:numPr>
          <w:ilvl w:val="0"/>
          <w:numId w:val="2"/>
        </w:numPr>
        <w:ind w:left="0" w:right="-25" w:hanging="180"/>
      </w:pPr>
      <w:r w:rsidRPr="00670E95">
        <w:t>Prospecto actualizado con la última información a disposición de la empresa.</w:t>
      </w:r>
    </w:p>
    <w:p w14:paraId="05C8DC96" w14:textId="77777777" w:rsidR="00A65F5F" w:rsidRPr="00670E95" w:rsidRDefault="00A65F5F" w:rsidP="00A65F5F">
      <w:pPr>
        <w:pStyle w:val="Prrafodelista"/>
        <w:numPr>
          <w:ilvl w:val="0"/>
          <w:numId w:val="2"/>
        </w:numPr>
        <w:ind w:left="0" w:right="-25" w:hanging="180"/>
      </w:pPr>
      <w:r w:rsidRPr="00670E95">
        <w:t xml:space="preserve">Estados </w:t>
      </w:r>
      <w:r w:rsidRPr="002A0D72">
        <w:t>Financieros auditados anuales</w:t>
      </w:r>
    </w:p>
    <w:p w14:paraId="05C30AD6" w14:textId="41CF2B87" w:rsidR="00A65F5F" w:rsidRPr="00670E95" w:rsidRDefault="00A65F5F" w:rsidP="00657E7D">
      <w:pPr>
        <w:pStyle w:val="Ttulo1"/>
        <w:numPr>
          <w:ilvl w:val="0"/>
          <w:numId w:val="55"/>
        </w:numPr>
      </w:pPr>
      <w:bookmarkStart w:id="3894" w:name="_Toc304737257"/>
      <w:bookmarkStart w:id="3895" w:name="_Toc343676095"/>
      <w:bookmarkStart w:id="3896" w:name="_Toc358619458"/>
      <w:bookmarkStart w:id="3897" w:name="_Toc358620723"/>
      <w:bookmarkStart w:id="3898" w:name="_Toc358621930"/>
      <w:bookmarkStart w:id="3899" w:name="_Toc358622907"/>
      <w:bookmarkStart w:id="3900" w:name="_Toc26357189"/>
      <w:bookmarkStart w:id="3901" w:name="_Toc138664976"/>
      <w:r w:rsidRPr="00670E95">
        <w:t>Anexos</w:t>
      </w:r>
      <w:bookmarkEnd w:id="3894"/>
      <w:bookmarkEnd w:id="3895"/>
      <w:bookmarkEnd w:id="3896"/>
      <w:bookmarkEnd w:id="3897"/>
      <w:bookmarkEnd w:id="3898"/>
      <w:bookmarkEnd w:id="3899"/>
      <w:bookmarkEnd w:id="3900"/>
      <w:bookmarkEnd w:id="3901"/>
    </w:p>
    <w:p w14:paraId="4C77347C" w14:textId="2F66020F" w:rsidR="00A65F5F" w:rsidRDefault="00A65F5F" w:rsidP="00A65F5F">
      <w:pPr>
        <w:ind w:left="-540" w:right="-25"/>
      </w:pPr>
      <w:r w:rsidRPr="00670E95">
        <w:t xml:space="preserve">ANEXO </w:t>
      </w:r>
      <w:r w:rsidR="00B318A5">
        <w:t>1</w:t>
      </w:r>
      <w:r w:rsidRPr="00670E95">
        <w:t xml:space="preserve">. </w:t>
      </w:r>
      <w:r>
        <w:t xml:space="preserve"> Estados Financieros.</w:t>
      </w:r>
    </w:p>
    <w:p w14:paraId="7769D708" w14:textId="129DF86C" w:rsidR="00FF3B96" w:rsidRDefault="00FF3B96" w:rsidP="00A65F5F">
      <w:pPr>
        <w:ind w:left="-540" w:right="-25"/>
      </w:pPr>
      <w:r w:rsidRPr="00670E95">
        <w:t xml:space="preserve">ANEXO </w:t>
      </w:r>
      <w:r>
        <w:t>2.  Calificación de riesgo</w:t>
      </w:r>
    </w:p>
    <w:p w14:paraId="30B4B19D" w14:textId="7318EB85" w:rsidR="00C80B0D" w:rsidRDefault="00C80B0D" w:rsidP="00C80B0D">
      <w:pPr>
        <w:ind w:left="-540" w:right="-25"/>
      </w:pPr>
      <w:r w:rsidRPr="00670E95">
        <w:t xml:space="preserve">ANEXO </w:t>
      </w:r>
      <w:r>
        <w:t>3.  Certificación externa</w:t>
      </w:r>
    </w:p>
    <w:p w14:paraId="514FF5EA" w14:textId="77777777" w:rsidR="00C80B0D" w:rsidRDefault="00C80B0D" w:rsidP="00A65F5F">
      <w:pPr>
        <w:ind w:left="-540" w:right="-25"/>
      </w:pPr>
    </w:p>
    <w:sectPr w:rsidR="00C80B0D" w:rsidSect="00E92822">
      <w:footerReference w:type="default" r:id="rId32"/>
      <w:type w:val="continuous"/>
      <w:pgSz w:w="12240" w:h="15840"/>
      <w:pgMar w:top="1417" w:right="900"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AD47" w14:textId="77777777" w:rsidR="00282F90" w:rsidRDefault="00282F90" w:rsidP="00A65F5F">
      <w:r>
        <w:separator/>
      </w:r>
    </w:p>
  </w:endnote>
  <w:endnote w:type="continuationSeparator" w:id="0">
    <w:p w14:paraId="143FD4EB" w14:textId="77777777" w:rsidR="00282F90" w:rsidRDefault="00282F90" w:rsidP="00A6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venir-Blac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F3BB" w14:textId="3332A8C4" w:rsidR="00B41740" w:rsidRDefault="00B41740" w:rsidP="00B41740">
    <w:pPr>
      <w:pStyle w:val="Piedepgina"/>
    </w:pPr>
    <w:r>
      <w:t xml:space="preserve">Prospecto de Inversión del Instituto Costarricense de Electricidad,  Pág. </w:t>
    </w:r>
    <w:r>
      <w:fldChar w:fldCharType="begin"/>
    </w:r>
    <w:r>
      <w:instrText xml:space="preserve"> PAGE   \* MERGEFORMAT </w:instrText>
    </w:r>
    <w:r>
      <w:fldChar w:fldCharType="separate"/>
    </w:r>
    <w:r>
      <w:t>88</w:t>
    </w:r>
    <w:r>
      <w:fldChar w:fldCharType="end"/>
    </w:r>
    <w:r>
      <w:t xml:space="preserve"> de 10</w:t>
    </w:r>
    <w:r w:rsidR="006A4B07">
      <w:t>3</w:t>
    </w:r>
  </w:p>
  <w:p w14:paraId="7294E5F1" w14:textId="4F6A0DF7" w:rsidR="00CC74F4" w:rsidRDefault="00CC74F4" w:rsidP="00B41740">
    <w:pPr>
      <w:pStyle w:val="Piedepgina"/>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06E" w14:textId="1A041C04" w:rsidR="005B2030" w:rsidRDefault="005B2030">
    <w:pPr>
      <w:pStyle w:val="Piedepgina"/>
    </w:pPr>
    <w:r>
      <w:t xml:space="preserve"> Prospecto de Inversión del Instituto Costarricense de Electricidad,  Pág. </w:t>
    </w:r>
    <w:r>
      <w:fldChar w:fldCharType="begin"/>
    </w:r>
    <w:r>
      <w:instrText xml:space="preserve"> PAGE   \* MERGEFORMAT </w:instrText>
    </w:r>
    <w:r>
      <w:fldChar w:fldCharType="separate"/>
    </w:r>
    <w:r w:rsidR="00123CD4">
      <w:rPr>
        <w:noProof/>
      </w:rPr>
      <w:t>1</w:t>
    </w:r>
    <w:r>
      <w:fldChar w:fldCharType="end"/>
    </w:r>
    <w:r>
      <w:t xml:space="preserve"> de </w:t>
    </w:r>
    <w:r w:rsidR="00B41740">
      <w:t>10</w:t>
    </w:r>
    <w:r w:rsidR="006A4B07">
      <w:t>3</w:t>
    </w:r>
  </w:p>
  <w:p w14:paraId="628A9BA5" w14:textId="77777777" w:rsidR="005B2030" w:rsidRDefault="005B2030">
    <w:pPr>
      <w:pStyle w:val="Piedepgina"/>
    </w:pPr>
  </w:p>
  <w:p w14:paraId="7A81E121" w14:textId="77777777" w:rsidR="005B2030" w:rsidRDefault="005B2030">
    <w:pPr>
      <w:pStyle w:val="Piedepgina"/>
    </w:pPr>
  </w:p>
  <w:p w14:paraId="63A6A72C" w14:textId="77777777" w:rsidR="005B2030" w:rsidRDefault="005B2030">
    <w:pPr>
      <w:pStyle w:val="Piedepgina"/>
    </w:pPr>
  </w:p>
  <w:p w14:paraId="0B682A50" w14:textId="77777777" w:rsidR="005B2030" w:rsidRDefault="005B2030">
    <w:pPr>
      <w:pStyle w:val="Piedepgina"/>
    </w:pPr>
  </w:p>
  <w:p w14:paraId="362C050C" w14:textId="77777777" w:rsidR="005B2030" w:rsidRDefault="005B2030">
    <w:pPr>
      <w:pStyle w:val="Piedepgina"/>
    </w:pPr>
  </w:p>
  <w:p w14:paraId="51CA69DC" w14:textId="77777777" w:rsidR="005B2030" w:rsidRDefault="005B2030">
    <w:pPr>
      <w:pStyle w:val="Piedepgina"/>
    </w:pPr>
  </w:p>
  <w:p w14:paraId="5D4C0838" w14:textId="77777777" w:rsidR="005B2030" w:rsidRDefault="005B20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9B65" w14:textId="77777777" w:rsidR="00282F90" w:rsidRDefault="00282F90" w:rsidP="00A65F5F">
      <w:r>
        <w:separator/>
      </w:r>
    </w:p>
  </w:footnote>
  <w:footnote w:type="continuationSeparator" w:id="0">
    <w:p w14:paraId="57CB0FBC" w14:textId="77777777" w:rsidR="00282F90" w:rsidRDefault="00282F90" w:rsidP="00A65F5F">
      <w:r>
        <w:continuationSeparator/>
      </w:r>
    </w:p>
  </w:footnote>
  <w:footnote w:id="1">
    <w:p w14:paraId="6F83A2A2" w14:textId="77777777" w:rsidR="005B2030" w:rsidRDefault="005B2030" w:rsidP="00C4260B">
      <w:pPr>
        <w:pStyle w:val="Textonotapie"/>
        <w:rPr>
          <w:rFonts w:ascii="Arial" w:hAnsi="Arial" w:cs="Arial"/>
          <w:sz w:val="24"/>
          <w:lang w:val="es-ES"/>
        </w:rPr>
      </w:pPr>
      <w:r>
        <w:rPr>
          <w:rStyle w:val="Refdenotaalpie"/>
          <w:rFonts w:ascii="Arial" w:hAnsi="Arial" w:cs="Arial"/>
        </w:rPr>
        <w:footnoteRef/>
      </w:r>
      <w:r>
        <w:rPr>
          <w:rFonts w:ascii="Arial" w:hAnsi="Arial" w:cs="Arial"/>
        </w:rPr>
        <w:t xml:space="preserve"> </w:t>
      </w:r>
      <w:r>
        <w:rPr>
          <w:rFonts w:ascii="Arial" w:hAnsi="Arial" w:cs="Arial"/>
          <w:sz w:val="16"/>
          <w:szCs w:val="16"/>
          <w:lang w:val="es-ES"/>
        </w:rPr>
        <w:t>Basado en los criterios de mapeo de ODS publicado por ICMA (https://www.icmagroup.org/assets/documents/Regulatory/Green-Bonds/June-2020/Mapping-SDGs-to-Green-Social-and-Sustainability-Bonds-2020-June-2020-090620.pdf)</w:t>
      </w:r>
    </w:p>
  </w:footnote>
  <w:footnote w:id="2">
    <w:p w14:paraId="2CDC7B41" w14:textId="77777777" w:rsidR="005B2030" w:rsidRDefault="005B2030" w:rsidP="002817B6">
      <w:pPr>
        <w:pStyle w:val="Textonotapie"/>
        <w:rPr>
          <w:lang w:val="es-CR"/>
        </w:rPr>
      </w:pPr>
      <w:r>
        <w:rPr>
          <w:rStyle w:val="Refdenotaalpie"/>
          <w:sz w:val="18"/>
          <w:szCs w:val="18"/>
        </w:rPr>
        <w:footnoteRef/>
      </w:r>
      <w:r>
        <w:rPr>
          <w:sz w:val="18"/>
          <w:szCs w:val="18"/>
        </w:rPr>
        <w:t xml:space="preserve"> En este link se ubica el organigrama del Grupo ICE para mayor referencia de las gerencias: https://www.grupoice.com/wps/wcm/connect/2679b952-2e51-44c7-b884-87d6a7249db7/OrganigramageneralGrupoICE.pdf?MOD=AJPERES</w:t>
      </w:r>
    </w:p>
  </w:footnote>
  <w:footnote w:id="3">
    <w:p w14:paraId="21713A3E" w14:textId="77777777" w:rsidR="005B2030" w:rsidRDefault="005B2030" w:rsidP="002817B6">
      <w:pPr>
        <w:pStyle w:val="Textonotapie"/>
      </w:pPr>
      <w:r>
        <w:rPr>
          <w:rStyle w:val="Refdenotaalpie"/>
        </w:rPr>
        <w:footnoteRef/>
      </w:r>
      <w:r>
        <w:t xml:space="preserve"> https://www.grupoice.com/wps/portal/ICE/Transparencia/informacion</w:t>
      </w:r>
    </w:p>
  </w:footnote>
  <w:footnote w:id="4">
    <w:p w14:paraId="089F64A8" w14:textId="77777777" w:rsidR="005B2030" w:rsidRPr="00464D99" w:rsidRDefault="005B2030">
      <w:pPr>
        <w:pStyle w:val="Textonotapie"/>
        <w:rPr>
          <w:lang w:val="es-CR"/>
        </w:rPr>
      </w:pPr>
      <w:r>
        <w:rPr>
          <w:rStyle w:val="Refdenotaalpie"/>
        </w:rPr>
        <w:footnoteRef/>
      </w:r>
      <w:r>
        <w:t xml:space="preserve"> </w:t>
      </w:r>
      <w:r>
        <w:rPr>
          <w:lang w:val="es-CR"/>
        </w:rPr>
        <w:t xml:space="preserve">La aprobación en sesión 6396 del Consejo Directivo tuvo un error en la transcripción del acuerdo, motivo por el cual se corrigió en sesión 6398.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C98" w14:textId="191FB9E9" w:rsidR="00CC74F4" w:rsidRDefault="00CC74F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9E84F"/>
    <w:multiLevelType w:val="hybridMultilevel"/>
    <w:tmpl w:val="4F560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C55ED"/>
    <w:multiLevelType w:val="hybridMultilevel"/>
    <w:tmpl w:val="E1FED8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4DDAB9"/>
    <w:multiLevelType w:val="hybridMultilevel"/>
    <w:tmpl w:val="CE336D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83A844"/>
    <w:multiLevelType w:val="hybridMultilevel"/>
    <w:tmpl w:val="B92C24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0F37CE"/>
    <w:multiLevelType w:val="hybridMultilevel"/>
    <w:tmpl w:val="729FAE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73EDDC"/>
    <w:multiLevelType w:val="hybridMultilevel"/>
    <w:tmpl w:val="F42EE0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18455F"/>
    <w:multiLevelType w:val="hybridMultilevel"/>
    <w:tmpl w:val="FDA460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C23B2E"/>
    <w:multiLevelType w:val="hybridMultilevel"/>
    <w:tmpl w:val="52CB9E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D8A7D7"/>
    <w:multiLevelType w:val="hybridMultilevel"/>
    <w:tmpl w:val="C0F436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914A1"/>
    <w:multiLevelType w:val="multilevel"/>
    <w:tmpl w:val="39B6680C"/>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2"/>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10" w15:restartNumberingAfterBreak="0">
    <w:nsid w:val="01B40D0A"/>
    <w:multiLevelType w:val="hybridMultilevel"/>
    <w:tmpl w:val="ADBA3F28"/>
    <w:lvl w:ilvl="0" w:tplc="C17091E8">
      <w:start w:val="1"/>
      <w:numFmt w:val="lowerLetter"/>
      <w:lvlText w:val="%1."/>
      <w:lvlJc w:val="left"/>
      <w:pPr>
        <w:ind w:left="-20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1F001F0"/>
    <w:multiLevelType w:val="hybridMultilevel"/>
    <w:tmpl w:val="0DE0A38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hint="default"/>
      </w:rPr>
    </w:lvl>
    <w:lvl w:ilvl="8" w:tplc="04090005">
      <w:start w:val="1"/>
      <w:numFmt w:val="bullet"/>
      <w:lvlText w:val=""/>
      <w:lvlJc w:val="left"/>
      <w:pPr>
        <w:ind w:left="5940" w:hanging="360"/>
      </w:pPr>
      <w:rPr>
        <w:rFonts w:ascii="Wingdings" w:hAnsi="Wingdings" w:hint="default"/>
      </w:rPr>
    </w:lvl>
  </w:abstractNum>
  <w:abstractNum w:abstractNumId="12" w15:restartNumberingAfterBreak="0">
    <w:nsid w:val="0629E97C"/>
    <w:multiLevelType w:val="hybridMultilevel"/>
    <w:tmpl w:val="42680C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D84B31"/>
    <w:multiLevelType w:val="multilevel"/>
    <w:tmpl w:val="D97C16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8F84857"/>
    <w:multiLevelType w:val="multilevel"/>
    <w:tmpl w:val="828A8140"/>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5.1"/>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15" w15:restartNumberingAfterBreak="0">
    <w:nsid w:val="08F95F36"/>
    <w:multiLevelType w:val="multilevel"/>
    <w:tmpl w:val="327E8DC0"/>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2"/>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16" w15:restartNumberingAfterBreak="0">
    <w:nsid w:val="093B3C77"/>
    <w:multiLevelType w:val="hybridMultilevel"/>
    <w:tmpl w:val="A7B2E6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09BF18E0"/>
    <w:multiLevelType w:val="hybridMultilevel"/>
    <w:tmpl w:val="D9204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0AFC2514"/>
    <w:multiLevelType w:val="hybridMultilevel"/>
    <w:tmpl w:val="0598D590"/>
    <w:lvl w:ilvl="0" w:tplc="93B89ADE">
      <w:start w:val="3"/>
      <w:numFmt w:val="decimal"/>
      <w:lvlText w:val="%1.1.22"/>
      <w:lvlJc w:val="left"/>
      <w:pPr>
        <w:ind w:left="502"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15:restartNumberingAfterBreak="0">
    <w:nsid w:val="0B206C16"/>
    <w:multiLevelType w:val="multilevel"/>
    <w:tmpl w:val="A31AC87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BEF7344"/>
    <w:multiLevelType w:val="multilevel"/>
    <w:tmpl w:val="B4F4781A"/>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4.4"/>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1" w15:restartNumberingAfterBreak="0">
    <w:nsid w:val="157976A5"/>
    <w:multiLevelType w:val="multilevel"/>
    <w:tmpl w:val="360E23D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4"/>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2" w15:restartNumberingAfterBreak="0">
    <w:nsid w:val="177F1E90"/>
    <w:multiLevelType w:val="hybridMultilevel"/>
    <w:tmpl w:val="CE0A0938"/>
    <w:lvl w:ilvl="0" w:tplc="FC66934C">
      <w:start w:val="3"/>
      <w:numFmt w:val="decimal"/>
      <w:lvlText w:val="%1.1.20"/>
      <w:lvlJc w:val="left"/>
      <w:pPr>
        <w:ind w:left="502"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15:restartNumberingAfterBreak="0">
    <w:nsid w:val="17D32794"/>
    <w:multiLevelType w:val="multilevel"/>
    <w:tmpl w:val="097C3EF6"/>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5"/>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4" w15:restartNumberingAfterBreak="0">
    <w:nsid w:val="19881EFF"/>
    <w:multiLevelType w:val="multilevel"/>
    <w:tmpl w:val="68166B3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1.2"/>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5" w15:restartNumberingAfterBreak="0">
    <w:nsid w:val="1C372FC2"/>
    <w:multiLevelType w:val="hybridMultilevel"/>
    <w:tmpl w:val="C0BC81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1CF9B866"/>
    <w:multiLevelType w:val="hybridMultilevel"/>
    <w:tmpl w:val="1B848C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E1D01BE"/>
    <w:multiLevelType w:val="multilevel"/>
    <w:tmpl w:val="40BA8C7C"/>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0"/>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8" w15:restartNumberingAfterBreak="0">
    <w:nsid w:val="1E265525"/>
    <w:multiLevelType w:val="multilevel"/>
    <w:tmpl w:val="38604C4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9"/>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29" w15:restartNumberingAfterBreak="0">
    <w:nsid w:val="1E7E0157"/>
    <w:multiLevelType w:val="hybridMultilevel"/>
    <w:tmpl w:val="3830F514"/>
    <w:lvl w:ilvl="0" w:tplc="0C0A000F">
      <w:start w:val="1"/>
      <w:numFmt w:val="decimal"/>
      <w:lvlText w:val="%1."/>
      <w:lvlJc w:val="left"/>
      <w:pPr>
        <w:ind w:left="153" w:hanging="360"/>
      </w:pPr>
      <w:rPr>
        <w:rFonts w:cs="Times New Roman"/>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30" w15:restartNumberingAfterBreak="0">
    <w:nsid w:val="1F6113AD"/>
    <w:multiLevelType w:val="multilevel"/>
    <w:tmpl w:val="D6B438A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31" w15:restartNumberingAfterBreak="0">
    <w:nsid w:val="252C5022"/>
    <w:multiLevelType w:val="hybridMultilevel"/>
    <w:tmpl w:val="6B16896E"/>
    <w:lvl w:ilvl="0" w:tplc="A1802BF6">
      <w:start w:val="3"/>
      <w:numFmt w:val="decimal"/>
      <w:lvlText w:val="%1.1.21"/>
      <w:lvlJc w:val="left"/>
      <w:pPr>
        <w:ind w:left="502"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2" w15:restartNumberingAfterBreak="0">
    <w:nsid w:val="25DD5542"/>
    <w:multiLevelType w:val="multilevel"/>
    <w:tmpl w:val="6290C59E"/>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273B2DC9"/>
    <w:multiLevelType w:val="multilevel"/>
    <w:tmpl w:val="F72CF0A2"/>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7"/>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34" w15:restartNumberingAfterBreak="0">
    <w:nsid w:val="27407FC0"/>
    <w:multiLevelType w:val="hybridMultilevel"/>
    <w:tmpl w:val="A8E4A562"/>
    <w:lvl w:ilvl="0" w:tplc="09CA0A46">
      <w:start w:val="3"/>
      <w:numFmt w:val="decimal"/>
      <w:lvlText w:val="%1.1.23"/>
      <w:lvlJc w:val="left"/>
      <w:pPr>
        <w:ind w:left="502"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5" w15:restartNumberingAfterBreak="0">
    <w:nsid w:val="27D548B1"/>
    <w:multiLevelType w:val="multilevel"/>
    <w:tmpl w:val="6E56423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9"/>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36" w15:restartNumberingAfterBreak="0">
    <w:nsid w:val="286015DC"/>
    <w:multiLevelType w:val="multilevel"/>
    <w:tmpl w:val="1B44668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3"/>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37" w15:restartNumberingAfterBreak="0">
    <w:nsid w:val="289B6FCC"/>
    <w:multiLevelType w:val="multilevel"/>
    <w:tmpl w:val="473657A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8C0041F"/>
    <w:multiLevelType w:val="hybridMultilevel"/>
    <w:tmpl w:val="AC1E8F9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29743E37"/>
    <w:multiLevelType w:val="hybridMultilevel"/>
    <w:tmpl w:val="8F43B2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9B70798"/>
    <w:multiLevelType w:val="hybridMultilevel"/>
    <w:tmpl w:val="559499FA"/>
    <w:lvl w:ilvl="0" w:tplc="F416AA36">
      <w:start w:val="31"/>
      <w:numFmt w:val="decimal"/>
      <w:lvlText w:val="%1"/>
      <w:lvlJc w:val="left"/>
      <w:pPr>
        <w:ind w:left="-180" w:hanging="360"/>
      </w:pPr>
      <w:rPr>
        <w:rFonts w:cs="Times New Roman" w:hint="default"/>
      </w:rPr>
    </w:lvl>
    <w:lvl w:ilvl="1" w:tplc="0C0A0019" w:tentative="1">
      <w:start w:val="1"/>
      <w:numFmt w:val="lowerLetter"/>
      <w:lvlText w:val="%2."/>
      <w:lvlJc w:val="left"/>
      <w:pPr>
        <w:ind w:left="540" w:hanging="360"/>
      </w:pPr>
      <w:rPr>
        <w:rFonts w:cs="Times New Roman"/>
      </w:rPr>
    </w:lvl>
    <w:lvl w:ilvl="2" w:tplc="0C0A001B" w:tentative="1">
      <w:start w:val="1"/>
      <w:numFmt w:val="lowerRoman"/>
      <w:lvlText w:val="%3."/>
      <w:lvlJc w:val="right"/>
      <w:pPr>
        <w:ind w:left="1260" w:hanging="180"/>
      </w:pPr>
      <w:rPr>
        <w:rFonts w:cs="Times New Roman"/>
      </w:rPr>
    </w:lvl>
    <w:lvl w:ilvl="3" w:tplc="0C0A000F" w:tentative="1">
      <w:start w:val="1"/>
      <w:numFmt w:val="decimal"/>
      <w:lvlText w:val="%4."/>
      <w:lvlJc w:val="left"/>
      <w:pPr>
        <w:ind w:left="1980" w:hanging="360"/>
      </w:pPr>
      <w:rPr>
        <w:rFonts w:cs="Times New Roman"/>
      </w:rPr>
    </w:lvl>
    <w:lvl w:ilvl="4" w:tplc="0C0A0019" w:tentative="1">
      <w:start w:val="1"/>
      <w:numFmt w:val="lowerLetter"/>
      <w:lvlText w:val="%5."/>
      <w:lvlJc w:val="left"/>
      <w:pPr>
        <w:ind w:left="2700" w:hanging="360"/>
      </w:pPr>
      <w:rPr>
        <w:rFonts w:cs="Times New Roman"/>
      </w:rPr>
    </w:lvl>
    <w:lvl w:ilvl="5" w:tplc="0C0A001B" w:tentative="1">
      <w:start w:val="1"/>
      <w:numFmt w:val="lowerRoman"/>
      <w:lvlText w:val="%6."/>
      <w:lvlJc w:val="right"/>
      <w:pPr>
        <w:ind w:left="3420" w:hanging="180"/>
      </w:pPr>
      <w:rPr>
        <w:rFonts w:cs="Times New Roman"/>
      </w:rPr>
    </w:lvl>
    <w:lvl w:ilvl="6" w:tplc="0C0A000F" w:tentative="1">
      <w:start w:val="1"/>
      <w:numFmt w:val="decimal"/>
      <w:lvlText w:val="%7."/>
      <w:lvlJc w:val="left"/>
      <w:pPr>
        <w:ind w:left="4140" w:hanging="360"/>
      </w:pPr>
      <w:rPr>
        <w:rFonts w:cs="Times New Roman"/>
      </w:rPr>
    </w:lvl>
    <w:lvl w:ilvl="7" w:tplc="0C0A0019" w:tentative="1">
      <w:start w:val="1"/>
      <w:numFmt w:val="lowerLetter"/>
      <w:lvlText w:val="%8."/>
      <w:lvlJc w:val="left"/>
      <w:pPr>
        <w:ind w:left="4860" w:hanging="360"/>
      </w:pPr>
      <w:rPr>
        <w:rFonts w:cs="Times New Roman"/>
      </w:rPr>
    </w:lvl>
    <w:lvl w:ilvl="8" w:tplc="0C0A001B" w:tentative="1">
      <w:start w:val="1"/>
      <w:numFmt w:val="lowerRoman"/>
      <w:lvlText w:val="%9."/>
      <w:lvlJc w:val="right"/>
      <w:pPr>
        <w:ind w:left="5580" w:hanging="180"/>
      </w:pPr>
      <w:rPr>
        <w:rFonts w:cs="Times New Roman"/>
      </w:rPr>
    </w:lvl>
  </w:abstractNum>
  <w:abstractNum w:abstractNumId="41" w15:restartNumberingAfterBreak="0">
    <w:nsid w:val="2BA04BF5"/>
    <w:multiLevelType w:val="hybridMultilevel"/>
    <w:tmpl w:val="5AB09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E012B1F"/>
    <w:multiLevelType w:val="multilevel"/>
    <w:tmpl w:val="51DE322E"/>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1.1"/>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43" w15:restartNumberingAfterBreak="0">
    <w:nsid w:val="2E2337DF"/>
    <w:multiLevelType w:val="multilevel"/>
    <w:tmpl w:val="65526A1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7"/>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44" w15:restartNumberingAfterBreak="0">
    <w:nsid w:val="338112F7"/>
    <w:multiLevelType w:val="hybridMultilevel"/>
    <w:tmpl w:val="98D250D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45" w15:restartNumberingAfterBreak="0">
    <w:nsid w:val="34D7617D"/>
    <w:multiLevelType w:val="multilevel"/>
    <w:tmpl w:val="82EAC89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37FF7A4F"/>
    <w:multiLevelType w:val="hybridMultilevel"/>
    <w:tmpl w:val="19AC4564"/>
    <w:lvl w:ilvl="0" w:tplc="0AEA35C6">
      <w:start w:val="1"/>
      <w:numFmt w:val="lowerLetter"/>
      <w:lvlText w:val="%1."/>
      <w:lvlJc w:val="left"/>
      <w:pPr>
        <w:ind w:left="-207" w:hanging="360"/>
      </w:pPr>
      <w:rPr>
        <w:rFonts w:cs="Times New Roman" w:hint="default"/>
      </w:rPr>
    </w:lvl>
    <w:lvl w:ilvl="1" w:tplc="04090019">
      <w:start w:val="1"/>
      <w:numFmt w:val="lowerLetter"/>
      <w:lvlText w:val="%2."/>
      <w:lvlJc w:val="left"/>
      <w:pPr>
        <w:ind w:left="513" w:hanging="360"/>
      </w:pPr>
      <w:rPr>
        <w:rFonts w:cs="Times New Roman"/>
      </w:rPr>
    </w:lvl>
    <w:lvl w:ilvl="2" w:tplc="0409001B">
      <w:start w:val="1"/>
      <w:numFmt w:val="lowerRoman"/>
      <w:lvlText w:val="%3."/>
      <w:lvlJc w:val="right"/>
      <w:pPr>
        <w:ind w:left="1233" w:hanging="180"/>
      </w:pPr>
      <w:rPr>
        <w:rFonts w:cs="Times New Roman"/>
      </w:rPr>
    </w:lvl>
    <w:lvl w:ilvl="3" w:tplc="0409000F">
      <w:start w:val="1"/>
      <w:numFmt w:val="decimal"/>
      <w:lvlText w:val="%4."/>
      <w:lvlJc w:val="left"/>
      <w:pPr>
        <w:ind w:left="1953" w:hanging="360"/>
      </w:pPr>
      <w:rPr>
        <w:rFonts w:cs="Times New Roman"/>
      </w:rPr>
    </w:lvl>
    <w:lvl w:ilvl="4" w:tplc="04090019">
      <w:start w:val="1"/>
      <w:numFmt w:val="lowerLetter"/>
      <w:lvlText w:val="%5."/>
      <w:lvlJc w:val="left"/>
      <w:pPr>
        <w:ind w:left="2673" w:hanging="360"/>
      </w:pPr>
      <w:rPr>
        <w:rFonts w:cs="Times New Roman"/>
      </w:rPr>
    </w:lvl>
    <w:lvl w:ilvl="5" w:tplc="0409001B">
      <w:start w:val="1"/>
      <w:numFmt w:val="lowerRoman"/>
      <w:lvlText w:val="%6."/>
      <w:lvlJc w:val="right"/>
      <w:pPr>
        <w:ind w:left="3393" w:hanging="180"/>
      </w:pPr>
      <w:rPr>
        <w:rFonts w:cs="Times New Roman"/>
      </w:rPr>
    </w:lvl>
    <w:lvl w:ilvl="6" w:tplc="0409000F">
      <w:start w:val="1"/>
      <w:numFmt w:val="decimal"/>
      <w:lvlText w:val="%7."/>
      <w:lvlJc w:val="left"/>
      <w:pPr>
        <w:ind w:left="4113" w:hanging="360"/>
      </w:pPr>
      <w:rPr>
        <w:rFonts w:cs="Times New Roman"/>
      </w:rPr>
    </w:lvl>
    <w:lvl w:ilvl="7" w:tplc="04090019">
      <w:start w:val="1"/>
      <w:numFmt w:val="lowerLetter"/>
      <w:lvlText w:val="%8."/>
      <w:lvlJc w:val="left"/>
      <w:pPr>
        <w:ind w:left="4833" w:hanging="360"/>
      </w:pPr>
      <w:rPr>
        <w:rFonts w:cs="Times New Roman"/>
      </w:rPr>
    </w:lvl>
    <w:lvl w:ilvl="8" w:tplc="0409001B">
      <w:start w:val="1"/>
      <w:numFmt w:val="lowerRoman"/>
      <w:lvlText w:val="%9."/>
      <w:lvlJc w:val="right"/>
      <w:pPr>
        <w:ind w:left="5553" w:hanging="180"/>
      </w:pPr>
      <w:rPr>
        <w:rFonts w:cs="Times New Roman"/>
      </w:rPr>
    </w:lvl>
  </w:abstractNum>
  <w:abstractNum w:abstractNumId="47" w15:restartNumberingAfterBreak="0">
    <w:nsid w:val="3A6D24C5"/>
    <w:multiLevelType w:val="hybridMultilevel"/>
    <w:tmpl w:val="BD2489B2"/>
    <w:lvl w:ilvl="0" w:tplc="04090003">
      <w:start w:val="1"/>
      <w:numFmt w:val="bullet"/>
      <w:lvlText w:val="-"/>
      <w:lvlJc w:val="left"/>
      <w:pPr>
        <w:ind w:left="720" w:hanging="360"/>
      </w:pPr>
      <w:rPr>
        <w:rFonts w:ascii="Arial" w:hAnsi="Aria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8" w15:restartNumberingAfterBreak="0">
    <w:nsid w:val="3AAE59D6"/>
    <w:multiLevelType w:val="multilevel"/>
    <w:tmpl w:val="BEE8421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6"/>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49" w15:restartNumberingAfterBreak="0">
    <w:nsid w:val="3ABD24CC"/>
    <w:multiLevelType w:val="multilevel"/>
    <w:tmpl w:val="7AD25A52"/>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3"/>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50" w15:restartNumberingAfterBreak="0">
    <w:nsid w:val="3B171201"/>
    <w:multiLevelType w:val="multilevel"/>
    <w:tmpl w:val="1B7013E2"/>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1"/>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51" w15:restartNumberingAfterBreak="0">
    <w:nsid w:val="3B7E0106"/>
    <w:multiLevelType w:val="multilevel"/>
    <w:tmpl w:val="048273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3F346C2E"/>
    <w:multiLevelType w:val="hybridMultilevel"/>
    <w:tmpl w:val="4ECC7CD2"/>
    <w:lvl w:ilvl="0" w:tplc="661A7296">
      <w:start w:val="1"/>
      <w:numFmt w:val="lowerLetter"/>
      <w:pStyle w:val="incisos"/>
      <w:lvlText w:val="%1)"/>
      <w:lvlJc w:val="left"/>
      <w:pPr>
        <w:tabs>
          <w:tab w:val="num" w:pos="78"/>
        </w:tabs>
        <w:ind w:left="78" w:hanging="339"/>
      </w:pPr>
      <w:rPr>
        <w:rFonts w:cs="Times New Roman" w:hint="default"/>
      </w:rPr>
    </w:lvl>
    <w:lvl w:ilvl="1" w:tplc="04090019">
      <w:start w:val="1"/>
      <w:numFmt w:val="lowerLetter"/>
      <w:lvlText w:val="%2."/>
      <w:lvlJc w:val="left"/>
      <w:pPr>
        <w:ind w:left="611" w:hanging="360"/>
      </w:pPr>
      <w:rPr>
        <w:rFonts w:cs="Times New Roman"/>
      </w:rPr>
    </w:lvl>
    <w:lvl w:ilvl="2" w:tplc="0409001B" w:tentative="1">
      <w:start w:val="1"/>
      <w:numFmt w:val="lowerRoman"/>
      <w:lvlText w:val="%3."/>
      <w:lvlJc w:val="right"/>
      <w:pPr>
        <w:ind w:left="1331" w:hanging="180"/>
      </w:pPr>
      <w:rPr>
        <w:rFonts w:cs="Times New Roman"/>
      </w:rPr>
    </w:lvl>
    <w:lvl w:ilvl="3" w:tplc="0409000F" w:tentative="1">
      <w:start w:val="1"/>
      <w:numFmt w:val="decimal"/>
      <w:lvlText w:val="%4."/>
      <w:lvlJc w:val="left"/>
      <w:pPr>
        <w:ind w:left="2051" w:hanging="360"/>
      </w:pPr>
      <w:rPr>
        <w:rFonts w:cs="Times New Roman"/>
      </w:rPr>
    </w:lvl>
    <w:lvl w:ilvl="4" w:tplc="04090019" w:tentative="1">
      <w:start w:val="1"/>
      <w:numFmt w:val="lowerLetter"/>
      <w:lvlText w:val="%5."/>
      <w:lvlJc w:val="left"/>
      <w:pPr>
        <w:ind w:left="2771" w:hanging="360"/>
      </w:pPr>
      <w:rPr>
        <w:rFonts w:cs="Times New Roman"/>
      </w:rPr>
    </w:lvl>
    <w:lvl w:ilvl="5" w:tplc="0409001B" w:tentative="1">
      <w:start w:val="1"/>
      <w:numFmt w:val="lowerRoman"/>
      <w:lvlText w:val="%6."/>
      <w:lvlJc w:val="right"/>
      <w:pPr>
        <w:ind w:left="3491" w:hanging="180"/>
      </w:pPr>
      <w:rPr>
        <w:rFonts w:cs="Times New Roman"/>
      </w:rPr>
    </w:lvl>
    <w:lvl w:ilvl="6" w:tplc="0409000F" w:tentative="1">
      <w:start w:val="1"/>
      <w:numFmt w:val="decimal"/>
      <w:lvlText w:val="%7."/>
      <w:lvlJc w:val="left"/>
      <w:pPr>
        <w:ind w:left="4211" w:hanging="360"/>
      </w:pPr>
      <w:rPr>
        <w:rFonts w:cs="Times New Roman"/>
      </w:rPr>
    </w:lvl>
    <w:lvl w:ilvl="7" w:tplc="04090019" w:tentative="1">
      <w:start w:val="1"/>
      <w:numFmt w:val="lowerLetter"/>
      <w:lvlText w:val="%8."/>
      <w:lvlJc w:val="left"/>
      <w:pPr>
        <w:ind w:left="4931" w:hanging="360"/>
      </w:pPr>
      <w:rPr>
        <w:rFonts w:cs="Times New Roman"/>
      </w:rPr>
    </w:lvl>
    <w:lvl w:ilvl="8" w:tplc="0409001B" w:tentative="1">
      <w:start w:val="1"/>
      <w:numFmt w:val="lowerRoman"/>
      <w:lvlText w:val="%9."/>
      <w:lvlJc w:val="right"/>
      <w:pPr>
        <w:ind w:left="5651" w:hanging="180"/>
      </w:pPr>
      <w:rPr>
        <w:rFonts w:cs="Times New Roman"/>
      </w:rPr>
    </w:lvl>
  </w:abstractNum>
  <w:abstractNum w:abstractNumId="53" w15:restartNumberingAfterBreak="0">
    <w:nsid w:val="4022269E"/>
    <w:multiLevelType w:val="hybridMultilevel"/>
    <w:tmpl w:val="602CF5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C61E55"/>
    <w:multiLevelType w:val="multilevel"/>
    <w:tmpl w:val="C024AC9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5"/>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55" w15:restartNumberingAfterBreak="0">
    <w:nsid w:val="40D55C9D"/>
    <w:multiLevelType w:val="multilevel"/>
    <w:tmpl w:val="896C8886"/>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40F71304"/>
    <w:multiLevelType w:val="hybridMultilevel"/>
    <w:tmpl w:val="D2464C70"/>
    <w:lvl w:ilvl="0" w:tplc="1752F5BA">
      <w:start w:val="1"/>
      <w:numFmt w:val="decimal"/>
      <w:lvlText w:val="(%1)"/>
      <w:lvlJc w:val="left"/>
      <w:pPr>
        <w:ind w:left="525" w:hanging="525"/>
      </w:pPr>
      <w:rPr>
        <w:rFonts w:ascii="Arial" w:hAnsi="Arial" w:cs="Arial" w:hint="default"/>
        <w:b w:val="0"/>
        <w:sz w:val="15"/>
        <w:szCs w:val="15"/>
      </w:rPr>
    </w:lvl>
    <w:lvl w:ilvl="1" w:tplc="140A0019">
      <w:start w:val="1"/>
      <w:numFmt w:val="lowerLetter"/>
      <w:lvlText w:val="%2."/>
      <w:lvlJc w:val="left"/>
      <w:pPr>
        <w:ind w:left="1080" w:hanging="360"/>
      </w:pPr>
      <w:rPr>
        <w:rFonts w:cs="Times New Roman"/>
      </w:rPr>
    </w:lvl>
    <w:lvl w:ilvl="2" w:tplc="140A001B">
      <w:start w:val="1"/>
      <w:numFmt w:val="lowerRoman"/>
      <w:lvlText w:val="%3."/>
      <w:lvlJc w:val="right"/>
      <w:pPr>
        <w:ind w:left="1800" w:hanging="180"/>
      </w:pPr>
      <w:rPr>
        <w:rFonts w:cs="Times New Roman"/>
      </w:rPr>
    </w:lvl>
    <w:lvl w:ilvl="3" w:tplc="140A000F">
      <w:start w:val="1"/>
      <w:numFmt w:val="decimal"/>
      <w:lvlText w:val="%4."/>
      <w:lvlJc w:val="left"/>
      <w:pPr>
        <w:ind w:left="2520" w:hanging="360"/>
      </w:pPr>
      <w:rPr>
        <w:rFonts w:cs="Times New Roman"/>
      </w:rPr>
    </w:lvl>
    <w:lvl w:ilvl="4" w:tplc="140A0019">
      <w:start w:val="1"/>
      <w:numFmt w:val="lowerLetter"/>
      <w:lvlText w:val="%5."/>
      <w:lvlJc w:val="left"/>
      <w:pPr>
        <w:ind w:left="3240" w:hanging="360"/>
      </w:pPr>
      <w:rPr>
        <w:rFonts w:cs="Times New Roman"/>
      </w:rPr>
    </w:lvl>
    <w:lvl w:ilvl="5" w:tplc="140A001B">
      <w:start w:val="1"/>
      <w:numFmt w:val="lowerRoman"/>
      <w:lvlText w:val="%6."/>
      <w:lvlJc w:val="right"/>
      <w:pPr>
        <w:ind w:left="3960" w:hanging="180"/>
      </w:pPr>
      <w:rPr>
        <w:rFonts w:cs="Times New Roman"/>
      </w:rPr>
    </w:lvl>
    <w:lvl w:ilvl="6" w:tplc="140A000F">
      <w:start w:val="1"/>
      <w:numFmt w:val="decimal"/>
      <w:lvlText w:val="%7."/>
      <w:lvlJc w:val="left"/>
      <w:pPr>
        <w:ind w:left="4680" w:hanging="360"/>
      </w:pPr>
      <w:rPr>
        <w:rFonts w:cs="Times New Roman"/>
      </w:rPr>
    </w:lvl>
    <w:lvl w:ilvl="7" w:tplc="140A0019">
      <w:start w:val="1"/>
      <w:numFmt w:val="lowerLetter"/>
      <w:lvlText w:val="%8."/>
      <w:lvlJc w:val="left"/>
      <w:pPr>
        <w:ind w:left="5400" w:hanging="360"/>
      </w:pPr>
      <w:rPr>
        <w:rFonts w:cs="Times New Roman"/>
      </w:rPr>
    </w:lvl>
    <w:lvl w:ilvl="8" w:tplc="140A001B">
      <w:start w:val="1"/>
      <w:numFmt w:val="lowerRoman"/>
      <w:lvlText w:val="%9."/>
      <w:lvlJc w:val="right"/>
      <w:pPr>
        <w:ind w:left="6120" w:hanging="180"/>
      </w:pPr>
      <w:rPr>
        <w:rFonts w:cs="Times New Roman"/>
      </w:rPr>
    </w:lvl>
  </w:abstractNum>
  <w:abstractNum w:abstractNumId="57" w15:restartNumberingAfterBreak="0">
    <w:nsid w:val="417F71EE"/>
    <w:multiLevelType w:val="multilevel"/>
    <w:tmpl w:val="33FE0420"/>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3.3"/>
      <w:lvlJc w:val="left"/>
      <w:pPr>
        <w:ind w:left="720" w:hanging="720"/>
      </w:pPr>
      <w:rPr>
        <w:rFonts w:cs="Times New Roman" w:hint="default"/>
        <w:b w:val="0"/>
      </w:rPr>
    </w:lvl>
    <w:lvl w:ilvl="3">
      <w:start w:val="2"/>
      <w:numFmt w:val="decimal"/>
      <w:lvlText w:val="%4.3.3.1"/>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58" w15:restartNumberingAfterBreak="0">
    <w:nsid w:val="41A46B11"/>
    <w:multiLevelType w:val="multilevel"/>
    <w:tmpl w:val="35CC3BD0"/>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6"/>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59" w15:restartNumberingAfterBreak="0">
    <w:nsid w:val="471079CA"/>
    <w:multiLevelType w:val="hybridMultilevel"/>
    <w:tmpl w:val="3CCCBEA4"/>
    <w:lvl w:ilvl="0" w:tplc="140A0019">
      <w:start w:val="1"/>
      <w:numFmt w:val="lowerLetter"/>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60" w15:restartNumberingAfterBreak="0">
    <w:nsid w:val="48760A3E"/>
    <w:multiLevelType w:val="multilevel"/>
    <w:tmpl w:val="9F4CD35E"/>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3.2"/>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61" w15:restartNumberingAfterBreak="0">
    <w:nsid w:val="4B7165F9"/>
    <w:multiLevelType w:val="multilevel"/>
    <w:tmpl w:val="7C287F26"/>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5.2"/>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62" w15:restartNumberingAfterBreak="0">
    <w:nsid w:val="4DDA5EE0"/>
    <w:multiLevelType w:val="multilevel"/>
    <w:tmpl w:val="CFE8A6BE"/>
    <w:lvl w:ilvl="0">
      <w:start w:val="4"/>
      <w:numFmt w:val="decimal"/>
      <w:lvlText w:val="%1"/>
      <w:lvlJc w:val="left"/>
      <w:pPr>
        <w:ind w:left="360" w:hanging="360"/>
      </w:pPr>
      <w:rPr>
        <w:rFonts w:cs="Times New Roman" w:hint="default"/>
      </w:rPr>
    </w:lvl>
    <w:lvl w:ilvl="1">
      <w:start w:val="3"/>
      <w:numFmt w:val="decimal"/>
      <w:lvlText w:val="%1.%2"/>
      <w:lvlJc w:val="left"/>
      <w:pPr>
        <w:ind w:left="916" w:hanging="360"/>
      </w:pPr>
      <w:rPr>
        <w:rFonts w:cs="Times New Roman" w:hint="default"/>
        <w:b w:val="0"/>
      </w:rPr>
    </w:lvl>
    <w:lvl w:ilvl="2">
      <w:start w:val="1"/>
      <w:numFmt w:val="decimal"/>
      <w:lvlText w:val="%1.%2.%3"/>
      <w:lvlJc w:val="left"/>
      <w:pPr>
        <w:ind w:left="1832" w:hanging="720"/>
      </w:pPr>
      <w:rPr>
        <w:rFonts w:cs="Times New Roman" w:hint="default"/>
      </w:rPr>
    </w:lvl>
    <w:lvl w:ilvl="3">
      <w:start w:val="1"/>
      <w:numFmt w:val="decimal"/>
      <w:lvlText w:val="%1.%2.%3.%4"/>
      <w:lvlJc w:val="left"/>
      <w:pPr>
        <w:ind w:left="2388" w:hanging="720"/>
      </w:pPr>
      <w:rPr>
        <w:rFonts w:cs="Times New Roman" w:hint="default"/>
      </w:rPr>
    </w:lvl>
    <w:lvl w:ilvl="4">
      <w:start w:val="1"/>
      <w:numFmt w:val="decimal"/>
      <w:lvlText w:val="%1.%2.%3.%4.%5"/>
      <w:lvlJc w:val="left"/>
      <w:pPr>
        <w:ind w:left="3304" w:hanging="1080"/>
      </w:pPr>
      <w:rPr>
        <w:rFonts w:cs="Times New Roman" w:hint="default"/>
      </w:rPr>
    </w:lvl>
    <w:lvl w:ilvl="5">
      <w:start w:val="1"/>
      <w:numFmt w:val="decimal"/>
      <w:lvlText w:val="%1.%2.%3.%4.%5.%6"/>
      <w:lvlJc w:val="left"/>
      <w:pPr>
        <w:ind w:left="3860" w:hanging="1080"/>
      </w:pPr>
      <w:rPr>
        <w:rFonts w:cs="Times New Roman" w:hint="default"/>
      </w:rPr>
    </w:lvl>
    <w:lvl w:ilvl="6">
      <w:start w:val="1"/>
      <w:numFmt w:val="decimal"/>
      <w:lvlText w:val="%1.%2.%3.%4.%5.%6.%7"/>
      <w:lvlJc w:val="left"/>
      <w:pPr>
        <w:ind w:left="4776" w:hanging="1440"/>
      </w:pPr>
      <w:rPr>
        <w:rFonts w:cs="Times New Roman" w:hint="default"/>
      </w:rPr>
    </w:lvl>
    <w:lvl w:ilvl="7">
      <w:start w:val="1"/>
      <w:numFmt w:val="decimal"/>
      <w:lvlText w:val="%1.%2.%3.%4.%5.%6.%7.%8"/>
      <w:lvlJc w:val="left"/>
      <w:pPr>
        <w:ind w:left="5332" w:hanging="1440"/>
      </w:pPr>
      <w:rPr>
        <w:rFonts w:cs="Times New Roman" w:hint="default"/>
      </w:rPr>
    </w:lvl>
    <w:lvl w:ilvl="8">
      <w:start w:val="1"/>
      <w:numFmt w:val="decimal"/>
      <w:lvlText w:val="%1.%2.%3.%4.%5.%6.%7.%8.%9"/>
      <w:lvlJc w:val="left"/>
      <w:pPr>
        <w:ind w:left="6248" w:hanging="1800"/>
      </w:pPr>
      <w:rPr>
        <w:rFonts w:cs="Times New Roman" w:hint="default"/>
      </w:rPr>
    </w:lvl>
  </w:abstractNum>
  <w:abstractNum w:abstractNumId="63" w15:restartNumberingAfterBreak="0">
    <w:nsid w:val="4ED507FD"/>
    <w:multiLevelType w:val="hybridMultilevel"/>
    <w:tmpl w:val="5EAA1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03D765A"/>
    <w:multiLevelType w:val="multilevel"/>
    <w:tmpl w:val="9F4E1E0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3.4.1"/>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65" w15:restartNumberingAfterBreak="0">
    <w:nsid w:val="517530C0"/>
    <w:multiLevelType w:val="hybridMultilevel"/>
    <w:tmpl w:val="4302F426"/>
    <w:lvl w:ilvl="0" w:tplc="0C0A000F">
      <w:start w:val="1"/>
      <w:numFmt w:val="decimal"/>
      <w:lvlText w:val="%1."/>
      <w:lvlJc w:val="left"/>
      <w:pPr>
        <w:ind w:left="180" w:hanging="360"/>
      </w:pPr>
      <w:rPr>
        <w:rFonts w:cs="Times New Roman"/>
      </w:rPr>
    </w:lvl>
    <w:lvl w:ilvl="1" w:tplc="0C0A0019">
      <w:start w:val="1"/>
      <w:numFmt w:val="lowerLetter"/>
      <w:lvlText w:val="%2."/>
      <w:lvlJc w:val="left"/>
      <w:pPr>
        <w:ind w:left="900" w:hanging="360"/>
      </w:pPr>
      <w:rPr>
        <w:rFonts w:cs="Times New Roman"/>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66" w15:restartNumberingAfterBreak="0">
    <w:nsid w:val="51DD54C1"/>
    <w:multiLevelType w:val="hybridMultilevel"/>
    <w:tmpl w:val="512C9DCC"/>
    <w:lvl w:ilvl="0" w:tplc="0C0A000F">
      <w:start w:val="1"/>
      <w:numFmt w:val="decimal"/>
      <w:lvlText w:val="%1."/>
      <w:lvlJc w:val="left"/>
      <w:pPr>
        <w:ind w:left="153" w:hanging="360"/>
      </w:pPr>
      <w:rPr>
        <w:rFonts w:cs="Times New Roman"/>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67" w15:restartNumberingAfterBreak="0">
    <w:nsid w:val="52FF53CA"/>
    <w:multiLevelType w:val="multilevel"/>
    <w:tmpl w:val="632269B2"/>
    <w:lvl w:ilvl="0">
      <w:start w:val="3"/>
      <w:numFmt w:val="decimal"/>
      <w:lvlText w:val="%1"/>
      <w:lvlJc w:val="left"/>
      <w:pPr>
        <w:ind w:left="600" w:hanging="600"/>
      </w:pPr>
      <w:rPr>
        <w:rFonts w:cs="Times New Roman" w:hint="default"/>
      </w:rPr>
    </w:lvl>
    <w:lvl w:ilvl="1">
      <w:start w:val="1"/>
      <w:numFmt w:val="decimal"/>
      <w:lvlText w:val="%1.%2"/>
      <w:lvlJc w:val="left"/>
      <w:pPr>
        <w:ind w:left="1030" w:hanging="600"/>
      </w:pPr>
      <w:rPr>
        <w:rFonts w:cs="Times New Roman" w:hint="default"/>
      </w:rPr>
    </w:lvl>
    <w:lvl w:ilvl="2">
      <w:start w:val="18"/>
      <w:numFmt w:val="decimal"/>
      <w:lvlText w:val="%1.%2.%3"/>
      <w:lvlJc w:val="left"/>
      <w:pPr>
        <w:ind w:left="1580" w:hanging="720"/>
      </w:pPr>
      <w:rPr>
        <w:rFonts w:cs="Times New Roman" w:hint="default"/>
      </w:rPr>
    </w:lvl>
    <w:lvl w:ilvl="3">
      <w:start w:val="1"/>
      <w:numFmt w:val="decimal"/>
      <w:lvlText w:val="%1.%2.%3.%4"/>
      <w:lvlJc w:val="left"/>
      <w:pPr>
        <w:ind w:left="2010" w:hanging="720"/>
      </w:pPr>
      <w:rPr>
        <w:rFonts w:cs="Times New Roman" w:hint="default"/>
      </w:rPr>
    </w:lvl>
    <w:lvl w:ilvl="4">
      <w:start w:val="1"/>
      <w:numFmt w:val="decimal"/>
      <w:lvlText w:val="%1.%2.%3.%4.%5"/>
      <w:lvlJc w:val="left"/>
      <w:pPr>
        <w:ind w:left="2800" w:hanging="1080"/>
      </w:pPr>
      <w:rPr>
        <w:rFonts w:cs="Times New Roman" w:hint="default"/>
      </w:rPr>
    </w:lvl>
    <w:lvl w:ilvl="5">
      <w:start w:val="1"/>
      <w:numFmt w:val="decimal"/>
      <w:lvlText w:val="%1.%2.%3.%4.%5.%6"/>
      <w:lvlJc w:val="left"/>
      <w:pPr>
        <w:ind w:left="3230" w:hanging="1080"/>
      </w:pPr>
      <w:rPr>
        <w:rFonts w:cs="Times New Roman" w:hint="default"/>
      </w:rPr>
    </w:lvl>
    <w:lvl w:ilvl="6">
      <w:start w:val="1"/>
      <w:numFmt w:val="decimal"/>
      <w:lvlText w:val="%1.%2.%3.%4.%5.%6.%7"/>
      <w:lvlJc w:val="left"/>
      <w:pPr>
        <w:ind w:left="4020" w:hanging="1440"/>
      </w:pPr>
      <w:rPr>
        <w:rFonts w:cs="Times New Roman" w:hint="default"/>
      </w:rPr>
    </w:lvl>
    <w:lvl w:ilvl="7">
      <w:start w:val="1"/>
      <w:numFmt w:val="decimal"/>
      <w:lvlText w:val="%1.%2.%3.%4.%5.%6.%7.%8"/>
      <w:lvlJc w:val="left"/>
      <w:pPr>
        <w:ind w:left="4450" w:hanging="1440"/>
      </w:pPr>
      <w:rPr>
        <w:rFonts w:cs="Times New Roman" w:hint="default"/>
      </w:rPr>
    </w:lvl>
    <w:lvl w:ilvl="8">
      <w:start w:val="1"/>
      <w:numFmt w:val="decimal"/>
      <w:lvlText w:val="%1.%2.%3.%4.%5.%6.%7.%8.%9"/>
      <w:lvlJc w:val="left"/>
      <w:pPr>
        <w:ind w:left="5240" w:hanging="1800"/>
      </w:pPr>
      <w:rPr>
        <w:rFonts w:cs="Times New Roman" w:hint="default"/>
      </w:rPr>
    </w:lvl>
  </w:abstractNum>
  <w:abstractNum w:abstractNumId="68" w15:restartNumberingAfterBreak="0">
    <w:nsid w:val="553F185C"/>
    <w:multiLevelType w:val="multilevel"/>
    <w:tmpl w:val="8E00345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14"/>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69" w15:restartNumberingAfterBreak="0">
    <w:nsid w:val="58114AF5"/>
    <w:multiLevelType w:val="hybridMultilevel"/>
    <w:tmpl w:val="9AA64856"/>
    <w:lvl w:ilvl="0" w:tplc="77E2AA96">
      <w:start w:val="1"/>
      <w:numFmt w:val="lowerLetter"/>
      <w:lvlText w:val="%1)"/>
      <w:lvlJc w:val="left"/>
      <w:pPr>
        <w:ind w:left="822" w:hanging="720"/>
        <w:jc w:val="left"/>
      </w:pPr>
      <w:rPr>
        <w:rFonts w:ascii="Times New Roman" w:eastAsia="Times New Roman" w:hAnsi="Times New Roman" w:cs="Times New Roman" w:hint="default"/>
        <w:b w:val="0"/>
        <w:bCs w:val="0"/>
        <w:i w:val="0"/>
        <w:iCs w:val="0"/>
        <w:w w:val="100"/>
        <w:sz w:val="22"/>
        <w:szCs w:val="22"/>
        <w:lang w:val="es-ES" w:eastAsia="en-US" w:bidi="ar-SA"/>
      </w:rPr>
    </w:lvl>
    <w:lvl w:ilvl="1" w:tplc="C9926DC4">
      <w:numFmt w:val="bullet"/>
      <w:lvlText w:val="•"/>
      <w:lvlJc w:val="left"/>
      <w:pPr>
        <w:ind w:left="1652" w:hanging="720"/>
      </w:pPr>
      <w:rPr>
        <w:rFonts w:hint="default"/>
        <w:lang w:val="es-ES" w:eastAsia="en-US" w:bidi="ar-SA"/>
      </w:rPr>
    </w:lvl>
    <w:lvl w:ilvl="2" w:tplc="696E33CA">
      <w:numFmt w:val="bullet"/>
      <w:lvlText w:val="•"/>
      <w:lvlJc w:val="left"/>
      <w:pPr>
        <w:ind w:left="2484" w:hanging="720"/>
      </w:pPr>
      <w:rPr>
        <w:rFonts w:hint="default"/>
        <w:lang w:val="es-ES" w:eastAsia="en-US" w:bidi="ar-SA"/>
      </w:rPr>
    </w:lvl>
    <w:lvl w:ilvl="3" w:tplc="24926EDA">
      <w:numFmt w:val="bullet"/>
      <w:lvlText w:val="•"/>
      <w:lvlJc w:val="left"/>
      <w:pPr>
        <w:ind w:left="3316" w:hanging="720"/>
      </w:pPr>
      <w:rPr>
        <w:rFonts w:hint="default"/>
        <w:lang w:val="es-ES" w:eastAsia="en-US" w:bidi="ar-SA"/>
      </w:rPr>
    </w:lvl>
    <w:lvl w:ilvl="4" w:tplc="0330824E">
      <w:numFmt w:val="bullet"/>
      <w:lvlText w:val="•"/>
      <w:lvlJc w:val="left"/>
      <w:pPr>
        <w:ind w:left="4148" w:hanging="720"/>
      </w:pPr>
      <w:rPr>
        <w:rFonts w:hint="default"/>
        <w:lang w:val="es-ES" w:eastAsia="en-US" w:bidi="ar-SA"/>
      </w:rPr>
    </w:lvl>
    <w:lvl w:ilvl="5" w:tplc="5142D0B4">
      <w:numFmt w:val="bullet"/>
      <w:lvlText w:val="•"/>
      <w:lvlJc w:val="left"/>
      <w:pPr>
        <w:ind w:left="4980" w:hanging="720"/>
      </w:pPr>
      <w:rPr>
        <w:rFonts w:hint="default"/>
        <w:lang w:val="es-ES" w:eastAsia="en-US" w:bidi="ar-SA"/>
      </w:rPr>
    </w:lvl>
    <w:lvl w:ilvl="6" w:tplc="464078D6">
      <w:numFmt w:val="bullet"/>
      <w:lvlText w:val="•"/>
      <w:lvlJc w:val="left"/>
      <w:pPr>
        <w:ind w:left="5812" w:hanging="720"/>
      </w:pPr>
      <w:rPr>
        <w:rFonts w:hint="default"/>
        <w:lang w:val="es-ES" w:eastAsia="en-US" w:bidi="ar-SA"/>
      </w:rPr>
    </w:lvl>
    <w:lvl w:ilvl="7" w:tplc="38F20D7E">
      <w:numFmt w:val="bullet"/>
      <w:lvlText w:val="•"/>
      <w:lvlJc w:val="left"/>
      <w:pPr>
        <w:ind w:left="6644" w:hanging="720"/>
      </w:pPr>
      <w:rPr>
        <w:rFonts w:hint="default"/>
        <w:lang w:val="es-ES" w:eastAsia="en-US" w:bidi="ar-SA"/>
      </w:rPr>
    </w:lvl>
    <w:lvl w:ilvl="8" w:tplc="0486078E">
      <w:numFmt w:val="bullet"/>
      <w:lvlText w:val="•"/>
      <w:lvlJc w:val="left"/>
      <w:pPr>
        <w:ind w:left="7476" w:hanging="720"/>
      </w:pPr>
      <w:rPr>
        <w:rFonts w:hint="default"/>
        <w:lang w:val="es-ES" w:eastAsia="en-US" w:bidi="ar-SA"/>
      </w:rPr>
    </w:lvl>
  </w:abstractNum>
  <w:abstractNum w:abstractNumId="70" w15:restartNumberingAfterBreak="0">
    <w:nsid w:val="58D23A73"/>
    <w:multiLevelType w:val="hybridMultilevel"/>
    <w:tmpl w:val="124C2F9E"/>
    <w:lvl w:ilvl="0" w:tplc="0C0A0001">
      <w:start w:val="1"/>
      <w:numFmt w:val="bullet"/>
      <w:lvlText w:val=""/>
      <w:lvlJc w:val="left"/>
      <w:pPr>
        <w:ind w:left="180" w:hanging="360"/>
      </w:pPr>
      <w:rPr>
        <w:rFonts w:ascii="Symbol" w:hAnsi="Symbol" w:hint="default"/>
      </w:rPr>
    </w:lvl>
    <w:lvl w:ilvl="1" w:tplc="0C0A0003">
      <w:start w:val="1"/>
      <w:numFmt w:val="bullet"/>
      <w:lvlText w:val="o"/>
      <w:lvlJc w:val="left"/>
      <w:pPr>
        <w:ind w:left="900" w:hanging="360"/>
      </w:pPr>
      <w:rPr>
        <w:rFonts w:ascii="Courier New" w:hAnsi="Courier New" w:hint="default"/>
      </w:rPr>
    </w:lvl>
    <w:lvl w:ilvl="2" w:tplc="0C0A0005">
      <w:start w:val="1"/>
      <w:numFmt w:val="bullet"/>
      <w:lvlText w:val=""/>
      <w:lvlJc w:val="left"/>
      <w:pPr>
        <w:ind w:left="1620" w:hanging="360"/>
      </w:pPr>
      <w:rPr>
        <w:rFonts w:ascii="Wingdings" w:hAnsi="Wingdings" w:hint="default"/>
      </w:rPr>
    </w:lvl>
    <w:lvl w:ilvl="3" w:tplc="0C0A0001">
      <w:start w:val="1"/>
      <w:numFmt w:val="bullet"/>
      <w:lvlText w:val=""/>
      <w:lvlJc w:val="left"/>
      <w:pPr>
        <w:ind w:left="2340" w:hanging="360"/>
      </w:pPr>
      <w:rPr>
        <w:rFonts w:ascii="Symbol" w:hAnsi="Symbol" w:hint="default"/>
      </w:rPr>
    </w:lvl>
    <w:lvl w:ilvl="4" w:tplc="0C0A0003">
      <w:start w:val="1"/>
      <w:numFmt w:val="bullet"/>
      <w:lvlText w:val="o"/>
      <w:lvlJc w:val="left"/>
      <w:pPr>
        <w:ind w:left="3060" w:hanging="360"/>
      </w:pPr>
      <w:rPr>
        <w:rFonts w:ascii="Courier New" w:hAnsi="Courier New" w:hint="default"/>
      </w:rPr>
    </w:lvl>
    <w:lvl w:ilvl="5" w:tplc="0C0A0005">
      <w:start w:val="1"/>
      <w:numFmt w:val="bullet"/>
      <w:lvlText w:val=""/>
      <w:lvlJc w:val="left"/>
      <w:pPr>
        <w:ind w:left="3780" w:hanging="360"/>
      </w:pPr>
      <w:rPr>
        <w:rFonts w:ascii="Wingdings" w:hAnsi="Wingdings" w:hint="default"/>
      </w:rPr>
    </w:lvl>
    <w:lvl w:ilvl="6" w:tplc="0C0A0001">
      <w:start w:val="1"/>
      <w:numFmt w:val="bullet"/>
      <w:lvlText w:val=""/>
      <w:lvlJc w:val="left"/>
      <w:pPr>
        <w:ind w:left="4500" w:hanging="360"/>
      </w:pPr>
      <w:rPr>
        <w:rFonts w:ascii="Symbol" w:hAnsi="Symbol" w:hint="default"/>
      </w:rPr>
    </w:lvl>
    <w:lvl w:ilvl="7" w:tplc="0C0A0003">
      <w:start w:val="1"/>
      <w:numFmt w:val="bullet"/>
      <w:lvlText w:val="o"/>
      <w:lvlJc w:val="left"/>
      <w:pPr>
        <w:ind w:left="5220" w:hanging="360"/>
      </w:pPr>
      <w:rPr>
        <w:rFonts w:ascii="Courier New" w:hAnsi="Courier New" w:hint="default"/>
      </w:rPr>
    </w:lvl>
    <w:lvl w:ilvl="8" w:tplc="0C0A0005">
      <w:start w:val="1"/>
      <w:numFmt w:val="bullet"/>
      <w:lvlText w:val=""/>
      <w:lvlJc w:val="left"/>
      <w:pPr>
        <w:ind w:left="5940" w:hanging="360"/>
      </w:pPr>
      <w:rPr>
        <w:rFonts w:ascii="Wingdings" w:hAnsi="Wingdings" w:hint="default"/>
      </w:rPr>
    </w:lvl>
  </w:abstractNum>
  <w:abstractNum w:abstractNumId="71" w15:restartNumberingAfterBreak="0">
    <w:nsid w:val="5AC32F69"/>
    <w:multiLevelType w:val="multilevel"/>
    <w:tmpl w:val="23445FB8"/>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2" w15:restartNumberingAfterBreak="0">
    <w:nsid w:val="5D0C6313"/>
    <w:multiLevelType w:val="hybridMultilevel"/>
    <w:tmpl w:val="28F210F2"/>
    <w:lvl w:ilvl="0" w:tplc="399A39CC">
      <w:start w:val="1"/>
      <w:numFmt w:val="lowerLetter"/>
      <w:lvlText w:val="%1."/>
      <w:lvlJc w:val="left"/>
      <w:pPr>
        <w:ind w:left="-18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73" w15:restartNumberingAfterBreak="0">
    <w:nsid w:val="5E2579AF"/>
    <w:multiLevelType w:val="hybridMultilevel"/>
    <w:tmpl w:val="551A2766"/>
    <w:lvl w:ilvl="0" w:tplc="5E2E6D8E">
      <w:start w:val="2"/>
      <w:numFmt w:val="decimal"/>
      <w:lvlText w:val="%1.3.2.3"/>
      <w:lvlJc w:val="left"/>
      <w:pPr>
        <w:ind w:left="120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4" w15:restartNumberingAfterBreak="0">
    <w:nsid w:val="5EAF24C0"/>
    <w:multiLevelType w:val="hybridMultilevel"/>
    <w:tmpl w:val="00062D8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75" w15:restartNumberingAfterBreak="0">
    <w:nsid w:val="5F853439"/>
    <w:multiLevelType w:val="hybridMultilevel"/>
    <w:tmpl w:val="406E2562"/>
    <w:lvl w:ilvl="0" w:tplc="9D7AF874">
      <w:start w:val="32"/>
      <w:numFmt w:val="decimal"/>
      <w:suff w:val="space"/>
      <w:lvlText w:val="Nota %1. "/>
      <w:lvlJc w:val="left"/>
      <w:pPr>
        <w:ind w:left="0" w:firstLine="0"/>
      </w:pPr>
      <w:rPr>
        <w:rFonts w:ascii="Times New Roman" w:hAnsi="Times New Roman" w:cs="Times New Roman" w:hint="default"/>
        <w:b/>
        <w:i w:val="0"/>
        <w:color w:val="auto"/>
        <w:sz w:val="22"/>
        <w:szCs w:val="22"/>
      </w:rPr>
    </w:lvl>
    <w:lvl w:ilvl="1" w:tplc="0C0A0003">
      <w:start w:val="1"/>
      <w:numFmt w:val="lowerLetter"/>
      <w:lvlText w:val="%2."/>
      <w:lvlJc w:val="left"/>
      <w:pPr>
        <w:ind w:left="1440" w:hanging="360"/>
      </w:pPr>
    </w:lvl>
    <w:lvl w:ilvl="2" w:tplc="0DC49858">
      <w:start w:val="1"/>
      <w:numFmt w:val="lowerRoman"/>
      <w:lvlText w:val="(%3)"/>
      <w:lvlJc w:val="left"/>
      <w:pPr>
        <w:ind w:left="2700" w:hanging="72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76" w15:restartNumberingAfterBreak="0">
    <w:nsid w:val="63364847"/>
    <w:multiLevelType w:val="hybridMultilevel"/>
    <w:tmpl w:val="291C9C70"/>
    <w:lvl w:ilvl="0" w:tplc="E328F538">
      <w:start w:val="1"/>
      <w:numFmt w:val="lowerLetter"/>
      <w:lvlText w:val="%1)"/>
      <w:lvlJc w:val="left"/>
      <w:pPr>
        <w:ind w:left="807" w:hanging="706"/>
        <w:jc w:val="left"/>
      </w:pPr>
      <w:rPr>
        <w:rFonts w:ascii="Times New Roman" w:eastAsia="Times New Roman" w:hAnsi="Times New Roman" w:cs="Times New Roman" w:hint="default"/>
        <w:b w:val="0"/>
        <w:bCs w:val="0"/>
        <w:i w:val="0"/>
        <w:iCs w:val="0"/>
        <w:w w:val="100"/>
        <w:sz w:val="22"/>
        <w:szCs w:val="22"/>
        <w:lang w:val="es-ES" w:eastAsia="en-US" w:bidi="ar-SA"/>
      </w:rPr>
    </w:lvl>
    <w:lvl w:ilvl="1" w:tplc="F3C2F73C">
      <w:numFmt w:val="bullet"/>
      <w:lvlText w:val="•"/>
      <w:lvlJc w:val="left"/>
      <w:pPr>
        <w:ind w:left="1634" w:hanging="706"/>
      </w:pPr>
      <w:rPr>
        <w:rFonts w:hint="default"/>
        <w:lang w:val="es-ES" w:eastAsia="en-US" w:bidi="ar-SA"/>
      </w:rPr>
    </w:lvl>
    <w:lvl w:ilvl="2" w:tplc="6BF62F60">
      <w:numFmt w:val="bullet"/>
      <w:lvlText w:val="•"/>
      <w:lvlJc w:val="left"/>
      <w:pPr>
        <w:ind w:left="2468" w:hanging="706"/>
      </w:pPr>
      <w:rPr>
        <w:rFonts w:hint="default"/>
        <w:lang w:val="es-ES" w:eastAsia="en-US" w:bidi="ar-SA"/>
      </w:rPr>
    </w:lvl>
    <w:lvl w:ilvl="3" w:tplc="D318DF2C">
      <w:numFmt w:val="bullet"/>
      <w:lvlText w:val="•"/>
      <w:lvlJc w:val="left"/>
      <w:pPr>
        <w:ind w:left="3302" w:hanging="706"/>
      </w:pPr>
      <w:rPr>
        <w:rFonts w:hint="default"/>
        <w:lang w:val="es-ES" w:eastAsia="en-US" w:bidi="ar-SA"/>
      </w:rPr>
    </w:lvl>
    <w:lvl w:ilvl="4" w:tplc="35880332">
      <w:numFmt w:val="bullet"/>
      <w:lvlText w:val="•"/>
      <w:lvlJc w:val="left"/>
      <w:pPr>
        <w:ind w:left="4136" w:hanging="706"/>
      </w:pPr>
      <w:rPr>
        <w:rFonts w:hint="default"/>
        <w:lang w:val="es-ES" w:eastAsia="en-US" w:bidi="ar-SA"/>
      </w:rPr>
    </w:lvl>
    <w:lvl w:ilvl="5" w:tplc="EA6486D6">
      <w:numFmt w:val="bullet"/>
      <w:lvlText w:val="•"/>
      <w:lvlJc w:val="left"/>
      <w:pPr>
        <w:ind w:left="4970" w:hanging="706"/>
      </w:pPr>
      <w:rPr>
        <w:rFonts w:hint="default"/>
        <w:lang w:val="es-ES" w:eastAsia="en-US" w:bidi="ar-SA"/>
      </w:rPr>
    </w:lvl>
    <w:lvl w:ilvl="6" w:tplc="43FEDEB4">
      <w:numFmt w:val="bullet"/>
      <w:lvlText w:val="•"/>
      <w:lvlJc w:val="left"/>
      <w:pPr>
        <w:ind w:left="5804" w:hanging="706"/>
      </w:pPr>
      <w:rPr>
        <w:rFonts w:hint="default"/>
        <w:lang w:val="es-ES" w:eastAsia="en-US" w:bidi="ar-SA"/>
      </w:rPr>
    </w:lvl>
    <w:lvl w:ilvl="7" w:tplc="23223C90">
      <w:numFmt w:val="bullet"/>
      <w:lvlText w:val="•"/>
      <w:lvlJc w:val="left"/>
      <w:pPr>
        <w:ind w:left="6638" w:hanging="706"/>
      </w:pPr>
      <w:rPr>
        <w:rFonts w:hint="default"/>
        <w:lang w:val="es-ES" w:eastAsia="en-US" w:bidi="ar-SA"/>
      </w:rPr>
    </w:lvl>
    <w:lvl w:ilvl="8" w:tplc="F1144120">
      <w:numFmt w:val="bullet"/>
      <w:lvlText w:val="•"/>
      <w:lvlJc w:val="left"/>
      <w:pPr>
        <w:ind w:left="7472" w:hanging="706"/>
      </w:pPr>
      <w:rPr>
        <w:rFonts w:hint="default"/>
        <w:lang w:val="es-ES" w:eastAsia="en-US" w:bidi="ar-SA"/>
      </w:rPr>
    </w:lvl>
  </w:abstractNum>
  <w:abstractNum w:abstractNumId="77" w15:restartNumberingAfterBreak="0">
    <w:nsid w:val="63EB75CC"/>
    <w:multiLevelType w:val="multilevel"/>
    <w:tmpl w:val="3B128D4C"/>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3.1.8"/>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78" w15:restartNumberingAfterBreak="0">
    <w:nsid w:val="64B00A71"/>
    <w:multiLevelType w:val="hybridMultilevel"/>
    <w:tmpl w:val="A260E98A"/>
    <w:lvl w:ilvl="0" w:tplc="E6E81286">
      <w:start w:val="4"/>
      <w:numFmt w:val="lowerLetter"/>
      <w:lvlText w:val="%1)"/>
      <w:lvlJc w:val="left"/>
      <w:pPr>
        <w:ind w:left="822" w:hanging="720"/>
        <w:jc w:val="left"/>
      </w:pPr>
      <w:rPr>
        <w:rFonts w:ascii="Times New Roman" w:eastAsia="Times New Roman" w:hAnsi="Times New Roman" w:cs="Times New Roman" w:hint="default"/>
        <w:b w:val="0"/>
        <w:bCs w:val="0"/>
        <w:i w:val="0"/>
        <w:iCs w:val="0"/>
        <w:w w:val="100"/>
        <w:sz w:val="22"/>
        <w:szCs w:val="22"/>
        <w:lang w:val="es-ES" w:eastAsia="en-US" w:bidi="ar-SA"/>
      </w:rPr>
    </w:lvl>
    <w:lvl w:ilvl="1" w:tplc="F71206CC">
      <w:numFmt w:val="bullet"/>
      <w:lvlText w:val="•"/>
      <w:lvlJc w:val="left"/>
      <w:pPr>
        <w:ind w:left="1652" w:hanging="720"/>
      </w:pPr>
      <w:rPr>
        <w:rFonts w:hint="default"/>
        <w:lang w:val="es-ES" w:eastAsia="en-US" w:bidi="ar-SA"/>
      </w:rPr>
    </w:lvl>
    <w:lvl w:ilvl="2" w:tplc="4210F1EE">
      <w:numFmt w:val="bullet"/>
      <w:lvlText w:val="•"/>
      <w:lvlJc w:val="left"/>
      <w:pPr>
        <w:ind w:left="2484" w:hanging="720"/>
      </w:pPr>
      <w:rPr>
        <w:rFonts w:hint="default"/>
        <w:lang w:val="es-ES" w:eastAsia="en-US" w:bidi="ar-SA"/>
      </w:rPr>
    </w:lvl>
    <w:lvl w:ilvl="3" w:tplc="D5747620">
      <w:numFmt w:val="bullet"/>
      <w:lvlText w:val="•"/>
      <w:lvlJc w:val="left"/>
      <w:pPr>
        <w:ind w:left="3316" w:hanging="720"/>
      </w:pPr>
      <w:rPr>
        <w:rFonts w:hint="default"/>
        <w:lang w:val="es-ES" w:eastAsia="en-US" w:bidi="ar-SA"/>
      </w:rPr>
    </w:lvl>
    <w:lvl w:ilvl="4" w:tplc="1AA6D548">
      <w:numFmt w:val="bullet"/>
      <w:lvlText w:val="•"/>
      <w:lvlJc w:val="left"/>
      <w:pPr>
        <w:ind w:left="4148" w:hanging="720"/>
      </w:pPr>
      <w:rPr>
        <w:rFonts w:hint="default"/>
        <w:lang w:val="es-ES" w:eastAsia="en-US" w:bidi="ar-SA"/>
      </w:rPr>
    </w:lvl>
    <w:lvl w:ilvl="5" w:tplc="EB7A3A38">
      <w:numFmt w:val="bullet"/>
      <w:lvlText w:val="•"/>
      <w:lvlJc w:val="left"/>
      <w:pPr>
        <w:ind w:left="4980" w:hanging="720"/>
      </w:pPr>
      <w:rPr>
        <w:rFonts w:hint="default"/>
        <w:lang w:val="es-ES" w:eastAsia="en-US" w:bidi="ar-SA"/>
      </w:rPr>
    </w:lvl>
    <w:lvl w:ilvl="6" w:tplc="C69E16B2">
      <w:numFmt w:val="bullet"/>
      <w:lvlText w:val="•"/>
      <w:lvlJc w:val="left"/>
      <w:pPr>
        <w:ind w:left="5812" w:hanging="720"/>
      </w:pPr>
      <w:rPr>
        <w:rFonts w:hint="default"/>
        <w:lang w:val="es-ES" w:eastAsia="en-US" w:bidi="ar-SA"/>
      </w:rPr>
    </w:lvl>
    <w:lvl w:ilvl="7" w:tplc="1826CE0A">
      <w:numFmt w:val="bullet"/>
      <w:lvlText w:val="•"/>
      <w:lvlJc w:val="left"/>
      <w:pPr>
        <w:ind w:left="6644" w:hanging="720"/>
      </w:pPr>
      <w:rPr>
        <w:rFonts w:hint="default"/>
        <w:lang w:val="es-ES" w:eastAsia="en-US" w:bidi="ar-SA"/>
      </w:rPr>
    </w:lvl>
    <w:lvl w:ilvl="8" w:tplc="FE5C9E46">
      <w:numFmt w:val="bullet"/>
      <w:lvlText w:val="•"/>
      <w:lvlJc w:val="left"/>
      <w:pPr>
        <w:ind w:left="7476" w:hanging="720"/>
      </w:pPr>
      <w:rPr>
        <w:rFonts w:hint="default"/>
        <w:lang w:val="es-ES" w:eastAsia="en-US" w:bidi="ar-SA"/>
      </w:rPr>
    </w:lvl>
  </w:abstractNum>
  <w:abstractNum w:abstractNumId="79" w15:restartNumberingAfterBreak="0">
    <w:nsid w:val="679A4E7D"/>
    <w:multiLevelType w:val="hybridMultilevel"/>
    <w:tmpl w:val="28F210F2"/>
    <w:lvl w:ilvl="0" w:tplc="FFFFFFFF">
      <w:start w:val="1"/>
      <w:numFmt w:val="lowerLetter"/>
      <w:lvlText w:val="%1."/>
      <w:lvlJc w:val="left"/>
      <w:pPr>
        <w:ind w:left="-180" w:hanging="360"/>
      </w:pPr>
      <w:rPr>
        <w:rFonts w:cs="Times New Roman" w:hint="default"/>
      </w:rPr>
    </w:lvl>
    <w:lvl w:ilvl="1" w:tplc="FFFFFFFF">
      <w:start w:val="1"/>
      <w:numFmt w:val="lowerLetter"/>
      <w:lvlText w:val="%2."/>
      <w:lvlJc w:val="left"/>
      <w:pPr>
        <w:ind w:left="540" w:hanging="360"/>
      </w:pPr>
      <w:rPr>
        <w:rFonts w:cs="Times New Roman"/>
      </w:rPr>
    </w:lvl>
    <w:lvl w:ilvl="2" w:tplc="FFFFFFFF">
      <w:start w:val="1"/>
      <w:numFmt w:val="lowerRoman"/>
      <w:lvlText w:val="%3."/>
      <w:lvlJc w:val="right"/>
      <w:pPr>
        <w:ind w:left="1260" w:hanging="180"/>
      </w:pPr>
      <w:rPr>
        <w:rFonts w:cs="Times New Roman"/>
      </w:rPr>
    </w:lvl>
    <w:lvl w:ilvl="3" w:tplc="FFFFFFFF">
      <w:start w:val="1"/>
      <w:numFmt w:val="decimal"/>
      <w:lvlText w:val="%4."/>
      <w:lvlJc w:val="left"/>
      <w:pPr>
        <w:ind w:left="1980" w:hanging="360"/>
      </w:pPr>
      <w:rPr>
        <w:rFonts w:cs="Times New Roman"/>
      </w:rPr>
    </w:lvl>
    <w:lvl w:ilvl="4" w:tplc="FFFFFFFF">
      <w:start w:val="1"/>
      <w:numFmt w:val="lowerLetter"/>
      <w:lvlText w:val="%5."/>
      <w:lvlJc w:val="left"/>
      <w:pPr>
        <w:ind w:left="2700" w:hanging="360"/>
      </w:pPr>
      <w:rPr>
        <w:rFonts w:cs="Times New Roman"/>
      </w:rPr>
    </w:lvl>
    <w:lvl w:ilvl="5" w:tplc="FFFFFFFF">
      <w:start w:val="1"/>
      <w:numFmt w:val="lowerRoman"/>
      <w:lvlText w:val="%6."/>
      <w:lvlJc w:val="right"/>
      <w:pPr>
        <w:ind w:left="3420" w:hanging="180"/>
      </w:pPr>
      <w:rPr>
        <w:rFonts w:cs="Times New Roman"/>
      </w:rPr>
    </w:lvl>
    <w:lvl w:ilvl="6" w:tplc="FFFFFFFF">
      <w:start w:val="1"/>
      <w:numFmt w:val="decimal"/>
      <w:lvlText w:val="%7."/>
      <w:lvlJc w:val="left"/>
      <w:pPr>
        <w:ind w:left="4140" w:hanging="360"/>
      </w:pPr>
      <w:rPr>
        <w:rFonts w:cs="Times New Roman"/>
      </w:rPr>
    </w:lvl>
    <w:lvl w:ilvl="7" w:tplc="FFFFFFFF">
      <w:start w:val="1"/>
      <w:numFmt w:val="lowerLetter"/>
      <w:lvlText w:val="%8."/>
      <w:lvlJc w:val="left"/>
      <w:pPr>
        <w:ind w:left="4860" w:hanging="360"/>
      </w:pPr>
      <w:rPr>
        <w:rFonts w:cs="Times New Roman"/>
      </w:rPr>
    </w:lvl>
    <w:lvl w:ilvl="8" w:tplc="FFFFFFFF">
      <w:start w:val="1"/>
      <w:numFmt w:val="lowerRoman"/>
      <w:lvlText w:val="%9."/>
      <w:lvlJc w:val="right"/>
      <w:pPr>
        <w:ind w:left="5580" w:hanging="180"/>
      </w:pPr>
      <w:rPr>
        <w:rFonts w:cs="Times New Roman"/>
      </w:rPr>
    </w:lvl>
  </w:abstractNum>
  <w:abstractNum w:abstractNumId="80" w15:restartNumberingAfterBreak="0">
    <w:nsid w:val="6D214CD5"/>
    <w:multiLevelType w:val="hybridMultilevel"/>
    <w:tmpl w:val="E2709548"/>
    <w:lvl w:ilvl="0" w:tplc="B1CEC61E">
      <w:start w:val="1"/>
      <w:numFmt w:val="lowerLetter"/>
      <w:lvlText w:val="%1."/>
      <w:lvlJc w:val="left"/>
      <w:pPr>
        <w:ind w:left="1065" w:hanging="705"/>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1" w15:restartNumberingAfterBreak="0">
    <w:nsid w:val="6EDB18E0"/>
    <w:multiLevelType w:val="multilevel"/>
    <w:tmpl w:val="F95CF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FBF52A2"/>
    <w:multiLevelType w:val="hybridMultilevel"/>
    <w:tmpl w:val="BE1CE3B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3" w15:restartNumberingAfterBreak="0">
    <w:nsid w:val="6FE27403"/>
    <w:multiLevelType w:val="multilevel"/>
    <w:tmpl w:val="3DA08832"/>
    <w:lvl w:ilvl="0">
      <w:start w:val="2"/>
      <w:numFmt w:val="decimal"/>
      <w:lvlText w:val="%1"/>
      <w:lvlJc w:val="left"/>
      <w:pPr>
        <w:ind w:left="480" w:hanging="480"/>
      </w:pPr>
      <w:rPr>
        <w:rFonts w:cs="Times New Roman" w:hint="default"/>
      </w:rPr>
    </w:lvl>
    <w:lvl w:ilvl="1">
      <w:start w:val="1"/>
      <w:numFmt w:val="decimal"/>
      <w:pStyle w:val="Ttulo2"/>
      <w:lvlText w:val="%1.%2"/>
      <w:lvlJc w:val="left"/>
      <w:pPr>
        <w:ind w:left="480" w:hanging="480"/>
      </w:pPr>
      <w:rPr>
        <w:rFonts w:cs="Times New Roman" w:hint="default"/>
      </w:rPr>
    </w:lvl>
    <w:lvl w:ilvl="2">
      <w:start w:val="2"/>
      <w:numFmt w:val="decimal"/>
      <w:lvlText w:val="%3.5.2"/>
      <w:lvlJc w:val="left"/>
      <w:pPr>
        <w:ind w:left="720" w:hanging="720"/>
      </w:pPr>
      <w:rPr>
        <w:rFonts w:cs="Times New Roman" w:hint="default"/>
        <w:b w:val="0"/>
      </w:rPr>
    </w:lvl>
    <w:lvl w:ilvl="3">
      <w:start w:val="2"/>
      <w:numFmt w:val="decimal"/>
      <w:lvlText w:val="%4.3.3.6"/>
      <w:lvlJc w:val="left"/>
      <w:pPr>
        <w:ind w:left="720" w:hanging="720"/>
      </w:pPr>
      <w:rPr>
        <w:rFonts w:cs="Times New Roman" w:hint="default"/>
        <w:b/>
      </w:rPr>
    </w:lvl>
    <w:lvl w:ilvl="4">
      <w:start w:val="1"/>
      <w:numFmt w:val="decimal"/>
      <w:lvlText w:val="%1.%2.%3.%4.%5"/>
      <w:lvlJc w:val="left"/>
      <w:pPr>
        <w:ind w:left="1384" w:hanging="1080"/>
      </w:pPr>
      <w:rPr>
        <w:rFonts w:cs="Times New Roman" w:hint="default"/>
      </w:rPr>
    </w:lvl>
    <w:lvl w:ilvl="5">
      <w:start w:val="1"/>
      <w:numFmt w:val="decimal"/>
      <w:lvlText w:val="%1.%2.%3.%4.%5.%6"/>
      <w:lvlJc w:val="left"/>
      <w:pPr>
        <w:ind w:left="1460" w:hanging="1080"/>
      </w:pPr>
      <w:rPr>
        <w:rFonts w:cs="Times New Roman" w:hint="default"/>
      </w:rPr>
    </w:lvl>
    <w:lvl w:ilvl="6">
      <w:start w:val="1"/>
      <w:numFmt w:val="decimal"/>
      <w:lvlText w:val="%1.%2.%3.%4.%5.%6.%7"/>
      <w:lvlJc w:val="left"/>
      <w:pPr>
        <w:ind w:left="1896" w:hanging="1440"/>
      </w:pPr>
      <w:rPr>
        <w:rFonts w:cs="Times New Roman" w:hint="default"/>
      </w:rPr>
    </w:lvl>
    <w:lvl w:ilvl="7">
      <w:start w:val="1"/>
      <w:numFmt w:val="decimal"/>
      <w:lvlText w:val="%1.%2.%3.%4.%5.%6.%7.%8"/>
      <w:lvlJc w:val="left"/>
      <w:pPr>
        <w:ind w:left="1972" w:hanging="1440"/>
      </w:pPr>
      <w:rPr>
        <w:rFonts w:cs="Times New Roman" w:hint="default"/>
      </w:rPr>
    </w:lvl>
    <w:lvl w:ilvl="8">
      <w:start w:val="1"/>
      <w:numFmt w:val="decimal"/>
      <w:lvlText w:val="%1.%2.%3.%4.%5.%6.%7.%8.%9"/>
      <w:lvlJc w:val="left"/>
      <w:pPr>
        <w:ind w:left="2408" w:hanging="1800"/>
      </w:pPr>
      <w:rPr>
        <w:rFonts w:cs="Times New Roman" w:hint="default"/>
      </w:rPr>
    </w:lvl>
  </w:abstractNum>
  <w:abstractNum w:abstractNumId="84" w15:restartNumberingAfterBreak="0">
    <w:nsid w:val="7033305F"/>
    <w:multiLevelType w:val="hybridMultilevel"/>
    <w:tmpl w:val="DE7E30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5" w15:restartNumberingAfterBreak="0">
    <w:nsid w:val="70B23D79"/>
    <w:multiLevelType w:val="hybridMultilevel"/>
    <w:tmpl w:val="2114664A"/>
    <w:lvl w:ilvl="0" w:tplc="1BF87578">
      <w:start w:val="1"/>
      <w:numFmt w:val="lowerLetter"/>
      <w:lvlText w:val="%1)"/>
      <w:lvlJc w:val="left"/>
      <w:pPr>
        <w:ind w:hanging="540"/>
      </w:pPr>
      <w:rPr>
        <w:rFonts w:cs="Times New Roman" w:hint="default"/>
      </w:rPr>
    </w:lvl>
    <w:lvl w:ilvl="1" w:tplc="0C0A0019" w:tentative="1">
      <w:start w:val="1"/>
      <w:numFmt w:val="lowerLetter"/>
      <w:lvlText w:val="%2."/>
      <w:lvlJc w:val="left"/>
      <w:pPr>
        <w:ind w:left="540" w:hanging="360"/>
      </w:pPr>
      <w:rPr>
        <w:rFonts w:cs="Times New Roman"/>
      </w:rPr>
    </w:lvl>
    <w:lvl w:ilvl="2" w:tplc="0C0A001B" w:tentative="1">
      <w:start w:val="1"/>
      <w:numFmt w:val="lowerRoman"/>
      <w:lvlText w:val="%3."/>
      <w:lvlJc w:val="right"/>
      <w:pPr>
        <w:ind w:left="1260" w:hanging="180"/>
      </w:pPr>
      <w:rPr>
        <w:rFonts w:cs="Times New Roman"/>
      </w:rPr>
    </w:lvl>
    <w:lvl w:ilvl="3" w:tplc="0C0A000F" w:tentative="1">
      <w:start w:val="1"/>
      <w:numFmt w:val="decimal"/>
      <w:lvlText w:val="%4."/>
      <w:lvlJc w:val="left"/>
      <w:pPr>
        <w:ind w:left="1980" w:hanging="360"/>
      </w:pPr>
      <w:rPr>
        <w:rFonts w:cs="Times New Roman"/>
      </w:rPr>
    </w:lvl>
    <w:lvl w:ilvl="4" w:tplc="0C0A0019" w:tentative="1">
      <w:start w:val="1"/>
      <w:numFmt w:val="lowerLetter"/>
      <w:lvlText w:val="%5."/>
      <w:lvlJc w:val="left"/>
      <w:pPr>
        <w:ind w:left="2700" w:hanging="360"/>
      </w:pPr>
      <w:rPr>
        <w:rFonts w:cs="Times New Roman"/>
      </w:rPr>
    </w:lvl>
    <w:lvl w:ilvl="5" w:tplc="0C0A001B" w:tentative="1">
      <w:start w:val="1"/>
      <w:numFmt w:val="lowerRoman"/>
      <w:lvlText w:val="%6."/>
      <w:lvlJc w:val="right"/>
      <w:pPr>
        <w:ind w:left="3420" w:hanging="180"/>
      </w:pPr>
      <w:rPr>
        <w:rFonts w:cs="Times New Roman"/>
      </w:rPr>
    </w:lvl>
    <w:lvl w:ilvl="6" w:tplc="0C0A000F" w:tentative="1">
      <w:start w:val="1"/>
      <w:numFmt w:val="decimal"/>
      <w:lvlText w:val="%7."/>
      <w:lvlJc w:val="left"/>
      <w:pPr>
        <w:ind w:left="4140" w:hanging="360"/>
      </w:pPr>
      <w:rPr>
        <w:rFonts w:cs="Times New Roman"/>
      </w:rPr>
    </w:lvl>
    <w:lvl w:ilvl="7" w:tplc="0C0A0019" w:tentative="1">
      <w:start w:val="1"/>
      <w:numFmt w:val="lowerLetter"/>
      <w:lvlText w:val="%8."/>
      <w:lvlJc w:val="left"/>
      <w:pPr>
        <w:ind w:left="4860" w:hanging="360"/>
      </w:pPr>
      <w:rPr>
        <w:rFonts w:cs="Times New Roman"/>
      </w:rPr>
    </w:lvl>
    <w:lvl w:ilvl="8" w:tplc="0C0A001B" w:tentative="1">
      <w:start w:val="1"/>
      <w:numFmt w:val="lowerRoman"/>
      <w:lvlText w:val="%9."/>
      <w:lvlJc w:val="right"/>
      <w:pPr>
        <w:ind w:left="5580" w:hanging="180"/>
      </w:pPr>
      <w:rPr>
        <w:rFonts w:cs="Times New Roman"/>
      </w:rPr>
    </w:lvl>
  </w:abstractNum>
  <w:abstractNum w:abstractNumId="86" w15:restartNumberingAfterBreak="0">
    <w:nsid w:val="714E7CBA"/>
    <w:multiLevelType w:val="hybridMultilevel"/>
    <w:tmpl w:val="951CF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7" w15:restartNumberingAfterBreak="0">
    <w:nsid w:val="73152B65"/>
    <w:multiLevelType w:val="hybridMultilevel"/>
    <w:tmpl w:val="9DD6CAFE"/>
    <w:lvl w:ilvl="0" w:tplc="0834F424">
      <w:start w:val="1"/>
      <w:numFmt w:val="bullet"/>
      <w:pStyle w:val="BodyBullet"/>
      <w:lvlText w:val=""/>
      <w:lvlJc w:val="left"/>
      <w:pPr>
        <w:ind w:left="1565" w:hanging="284"/>
      </w:pPr>
      <w:rPr>
        <w:rFonts w:ascii="Symbol" w:hAnsi="Symbol" w:hint="default"/>
        <w:sz w:val="16"/>
      </w:rPr>
    </w:lvl>
    <w:lvl w:ilvl="1" w:tplc="04090003">
      <w:start w:val="1"/>
      <w:numFmt w:val="bullet"/>
      <w:lvlText w:val="-"/>
      <w:lvlJc w:val="left"/>
      <w:pPr>
        <w:ind w:left="2153" w:hanging="360"/>
      </w:pPr>
      <w:rPr>
        <w:rFonts w:ascii="Arial" w:hAnsi="Arial" w:cs="Times New Roman" w:hint="default"/>
      </w:rPr>
    </w:lvl>
    <w:lvl w:ilvl="2" w:tplc="04090005">
      <w:start w:val="1"/>
      <w:numFmt w:val="bullet"/>
      <w:lvlText w:val=""/>
      <w:lvlJc w:val="left"/>
      <w:pPr>
        <w:ind w:left="2873" w:hanging="360"/>
      </w:pPr>
      <w:rPr>
        <w:rFonts w:ascii="Wingdings" w:hAnsi="Wingdings" w:hint="default"/>
      </w:rPr>
    </w:lvl>
    <w:lvl w:ilvl="3" w:tplc="04090001">
      <w:start w:val="1"/>
      <w:numFmt w:val="bullet"/>
      <w:lvlText w:val=""/>
      <w:lvlJc w:val="left"/>
      <w:pPr>
        <w:ind w:left="3593" w:hanging="360"/>
      </w:pPr>
      <w:rPr>
        <w:rFonts w:ascii="Symbol" w:hAnsi="Symbol" w:hint="default"/>
      </w:rPr>
    </w:lvl>
    <w:lvl w:ilvl="4" w:tplc="04090003">
      <w:start w:val="1"/>
      <w:numFmt w:val="bullet"/>
      <w:lvlText w:val="o"/>
      <w:lvlJc w:val="left"/>
      <w:pPr>
        <w:ind w:left="4313" w:hanging="360"/>
      </w:pPr>
      <w:rPr>
        <w:rFonts w:ascii="Courier New" w:hAnsi="Courier New" w:cs="Times New Roman" w:hint="default"/>
      </w:rPr>
    </w:lvl>
    <w:lvl w:ilvl="5" w:tplc="04090005">
      <w:start w:val="1"/>
      <w:numFmt w:val="bullet"/>
      <w:lvlText w:val=""/>
      <w:lvlJc w:val="left"/>
      <w:pPr>
        <w:ind w:left="5033" w:hanging="360"/>
      </w:pPr>
      <w:rPr>
        <w:rFonts w:ascii="Wingdings" w:hAnsi="Wingdings" w:hint="default"/>
      </w:rPr>
    </w:lvl>
    <w:lvl w:ilvl="6" w:tplc="04090001">
      <w:start w:val="1"/>
      <w:numFmt w:val="bullet"/>
      <w:lvlText w:val=""/>
      <w:lvlJc w:val="left"/>
      <w:pPr>
        <w:ind w:left="5753" w:hanging="360"/>
      </w:pPr>
      <w:rPr>
        <w:rFonts w:ascii="Symbol" w:hAnsi="Symbol" w:hint="default"/>
      </w:rPr>
    </w:lvl>
    <w:lvl w:ilvl="7" w:tplc="04090003">
      <w:start w:val="1"/>
      <w:numFmt w:val="bullet"/>
      <w:lvlText w:val="o"/>
      <w:lvlJc w:val="left"/>
      <w:pPr>
        <w:ind w:left="6473" w:hanging="360"/>
      </w:pPr>
      <w:rPr>
        <w:rFonts w:ascii="Courier New" w:hAnsi="Courier New" w:cs="Times New Roman" w:hint="default"/>
      </w:rPr>
    </w:lvl>
    <w:lvl w:ilvl="8" w:tplc="04090005">
      <w:start w:val="1"/>
      <w:numFmt w:val="bullet"/>
      <w:lvlText w:val=""/>
      <w:lvlJc w:val="left"/>
      <w:pPr>
        <w:ind w:left="7193" w:hanging="360"/>
      </w:pPr>
      <w:rPr>
        <w:rFonts w:ascii="Wingdings" w:hAnsi="Wingdings" w:hint="default"/>
      </w:rPr>
    </w:lvl>
  </w:abstractNum>
  <w:abstractNum w:abstractNumId="88" w15:restartNumberingAfterBreak="0">
    <w:nsid w:val="735963B2"/>
    <w:multiLevelType w:val="hybridMultilevel"/>
    <w:tmpl w:val="10562EA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9" w15:restartNumberingAfterBreak="0">
    <w:nsid w:val="74146ECF"/>
    <w:multiLevelType w:val="hybridMultilevel"/>
    <w:tmpl w:val="8CF870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0" w15:restartNumberingAfterBreak="0">
    <w:nsid w:val="74EF3A2F"/>
    <w:multiLevelType w:val="hybridMultilevel"/>
    <w:tmpl w:val="521EB26C"/>
    <w:lvl w:ilvl="0" w:tplc="E8801174">
      <w:start w:val="2"/>
      <w:numFmt w:val="lowerLetter"/>
      <w:lvlText w:val="%1."/>
      <w:lvlJc w:val="left"/>
      <w:pPr>
        <w:ind w:left="-207"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1" w15:restartNumberingAfterBreak="0">
    <w:nsid w:val="781C1313"/>
    <w:multiLevelType w:val="multilevel"/>
    <w:tmpl w:val="84A88DD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4.3.2.1"/>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15:restartNumberingAfterBreak="0">
    <w:nsid w:val="7A5C76DE"/>
    <w:multiLevelType w:val="multilevel"/>
    <w:tmpl w:val="DDF80E02"/>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4.3.2.2"/>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3" w15:restartNumberingAfterBreak="0">
    <w:nsid w:val="7ED0503F"/>
    <w:multiLevelType w:val="hybridMultilevel"/>
    <w:tmpl w:val="4088EC72"/>
    <w:lvl w:ilvl="0" w:tplc="1752F5BA">
      <w:start w:val="1"/>
      <w:numFmt w:val="decimal"/>
      <w:lvlText w:val="(%1)"/>
      <w:lvlJc w:val="left"/>
      <w:pPr>
        <w:ind w:left="525" w:hanging="525"/>
      </w:pPr>
      <w:rPr>
        <w:rFonts w:ascii="Arial" w:hAnsi="Arial" w:cs="Arial" w:hint="default"/>
        <w:b w:val="0"/>
        <w:sz w:val="15"/>
        <w:szCs w:val="15"/>
      </w:rPr>
    </w:lvl>
    <w:lvl w:ilvl="1" w:tplc="140A0019">
      <w:start w:val="1"/>
      <w:numFmt w:val="lowerLetter"/>
      <w:lvlText w:val="%2."/>
      <w:lvlJc w:val="left"/>
      <w:pPr>
        <w:ind w:left="1080" w:hanging="360"/>
      </w:pPr>
      <w:rPr>
        <w:rFonts w:cs="Times New Roman"/>
      </w:rPr>
    </w:lvl>
    <w:lvl w:ilvl="2" w:tplc="140A001B">
      <w:start w:val="1"/>
      <w:numFmt w:val="lowerRoman"/>
      <w:lvlText w:val="%3."/>
      <w:lvlJc w:val="right"/>
      <w:pPr>
        <w:ind w:left="1800" w:hanging="180"/>
      </w:pPr>
      <w:rPr>
        <w:rFonts w:cs="Times New Roman"/>
      </w:rPr>
    </w:lvl>
    <w:lvl w:ilvl="3" w:tplc="140A000F">
      <w:start w:val="1"/>
      <w:numFmt w:val="decimal"/>
      <w:lvlText w:val="%4."/>
      <w:lvlJc w:val="left"/>
      <w:pPr>
        <w:ind w:left="2520" w:hanging="360"/>
      </w:pPr>
      <w:rPr>
        <w:rFonts w:cs="Times New Roman"/>
      </w:rPr>
    </w:lvl>
    <w:lvl w:ilvl="4" w:tplc="140A0019">
      <w:start w:val="1"/>
      <w:numFmt w:val="lowerLetter"/>
      <w:lvlText w:val="%5."/>
      <w:lvlJc w:val="left"/>
      <w:pPr>
        <w:ind w:left="3240" w:hanging="360"/>
      </w:pPr>
      <w:rPr>
        <w:rFonts w:cs="Times New Roman"/>
      </w:rPr>
    </w:lvl>
    <w:lvl w:ilvl="5" w:tplc="140A001B">
      <w:start w:val="1"/>
      <w:numFmt w:val="lowerRoman"/>
      <w:lvlText w:val="%6."/>
      <w:lvlJc w:val="right"/>
      <w:pPr>
        <w:ind w:left="3960" w:hanging="180"/>
      </w:pPr>
      <w:rPr>
        <w:rFonts w:cs="Times New Roman"/>
      </w:rPr>
    </w:lvl>
    <w:lvl w:ilvl="6" w:tplc="140A000F">
      <w:start w:val="1"/>
      <w:numFmt w:val="decimal"/>
      <w:lvlText w:val="%7."/>
      <w:lvlJc w:val="left"/>
      <w:pPr>
        <w:ind w:left="4680" w:hanging="360"/>
      </w:pPr>
      <w:rPr>
        <w:rFonts w:cs="Times New Roman"/>
      </w:rPr>
    </w:lvl>
    <w:lvl w:ilvl="7" w:tplc="140A0019">
      <w:start w:val="1"/>
      <w:numFmt w:val="lowerLetter"/>
      <w:lvlText w:val="%8."/>
      <w:lvlJc w:val="left"/>
      <w:pPr>
        <w:ind w:left="5400" w:hanging="360"/>
      </w:pPr>
      <w:rPr>
        <w:rFonts w:cs="Times New Roman"/>
      </w:rPr>
    </w:lvl>
    <w:lvl w:ilvl="8" w:tplc="140A001B">
      <w:start w:val="1"/>
      <w:numFmt w:val="lowerRoman"/>
      <w:lvlText w:val="%9."/>
      <w:lvlJc w:val="right"/>
      <w:pPr>
        <w:ind w:left="6120" w:hanging="180"/>
      </w:pPr>
      <w:rPr>
        <w:rFonts w:cs="Times New Roman"/>
      </w:rPr>
    </w:lvl>
  </w:abstractNum>
  <w:abstractNum w:abstractNumId="94" w15:restartNumberingAfterBreak="0">
    <w:nsid w:val="7FB78408"/>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5" w15:restartNumberingAfterBreak="0">
    <w:nsid w:val="7FD86027"/>
    <w:multiLevelType w:val="hybridMultilevel"/>
    <w:tmpl w:val="71F89A8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16cid:durableId="1631546778">
    <w:abstractNumId w:val="32"/>
  </w:num>
  <w:num w:numId="2" w16cid:durableId="1973514120">
    <w:abstractNumId w:val="70"/>
  </w:num>
  <w:num w:numId="3" w16cid:durableId="1510412856">
    <w:abstractNumId w:val="72"/>
  </w:num>
  <w:num w:numId="4" w16cid:durableId="1329866019">
    <w:abstractNumId w:val="46"/>
  </w:num>
  <w:num w:numId="5" w16cid:durableId="293680918">
    <w:abstractNumId w:val="10"/>
  </w:num>
  <w:num w:numId="6" w16cid:durableId="473374310">
    <w:abstractNumId w:val="11"/>
  </w:num>
  <w:num w:numId="7" w16cid:durableId="177240245">
    <w:abstractNumId w:val="88"/>
  </w:num>
  <w:num w:numId="8" w16cid:durableId="718750518">
    <w:abstractNumId w:val="65"/>
  </w:num>
  <w:num w:numId="9" w16cid:durableId="1438940531">
    <w:abstractNumId w:val="74"/>
  </w:num>
  <w:num w:numId="10" w16cid:durableId="459610864">
    <w:abstractNumId w:val="40"/>
  </w:num>
  <w:num w:numId="11" w16cid:durableId="1481534257">
    <w:abstractNumId w:val="85"/>
  </w:num>
  <w:num w:numId="12" w16cid:durableId="1430196594">
    <w:abstractNumId w:val="90"/>
  </w:num>
  <w:num w:numId="13" w16cid:durableId="664868346">
    <w:abstractNumId w:val="66"/>
  </w:num>
  <w:num w:numId="14" w16cid:durableId="1414820287">
    <w:abstractNumId w:val="29"/>
  </w:num>
  <w:num w:numId="15" w16cid:durableId="1297029190">
    <w:abstractNumId w:val="16"/>
  </w:num>
  <w:num w:numId="16" w16cid:durableId="994843245">
    <w:abstractNumId w:val="52"/>
  </w:num>
  <w:num w:numId="17" w16cid:durableId="8691436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13086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4606625">
    <w:abstractNumId w:val="91"/>
  </w:num>
  <w:num w:numId="20" w16cid:durableId="377164653">
    <w:abstractNumId w:val="92"/>
  </w:num>
  <w:num w:numId="21" w16cid:durableId="1085300085">
    <w:abstractNumId w:val="73"/>
  </w:num>
  <w:num w:numId="22" w16cid:durableId="2113428642">
    <w:abstractNumId w:val="60"/>
  </w:num>
  <w:num w:numId="23" w16cid:durableId="1777403851">
    <w:abstractNumId w:val="57"/>
  </w:num>
  <w:num w:numId="24" w16cid:durableId="906499888">
    <w:abstractNumId w:val="64"/>
  </w:num>
  <w:num w:numId="25" w16cid:durableId="1491600256">
    <w:abstractNumId w:val="20"/>
  </w:num>
  <w:num w:numId="26" w16cid:durableId="17703498">
    <w:abstractNumId w:val="14"/>
  </w:num>
  <w:num w:numId="27" w16cid:durableId="1847671270">
    <w:abstractNumId w:val="61"/>
  </w:num>
  <w:num w:numId="28" w16cid:durableId="1232617600">
    <w:abstractNumId w:val="30"/>
  </w:num>
  <w:num w:numId="29" w16cid:durableId="1522009386">
    <w:abstractNumId w:val="9"/>
  </w:num>
  <w:num w:numId="30" w16cid:durableId="1716538861">
    <w:abstractNumId w:val="36"/>
  </w:num>
  <w:num w:numId="31" w16cid:durableId="147285849">
    <w:abstractNumId w:val="21"/>
  </w:num>
  <w:num w:numId="32" w16cid:durableId="1491867588">
    <w:abstractNumId w:val="54"/>
  </w:num>
  <w:num w:numId="33" w16cid:durableId="464008158">
    <w:abstractNumId w:val="58"/>
  </w:num>
  <w:num w:numId="34" w16cid:durableId="1431857269">
    <w:abstractNumId w:val="33"/>
  </w:num>
  <w:num w:numId="35" w16cid:durableId="1975404842">
    <w:abstractNumId w:val="77"/>
  </w:num>
  <w:num w:numId="36" w16cid:durableId="742607754">
    <w:abstractNumId w:val="28"/>
  </w:num>
  <w:num w:numId="37" w16cid:durableId="1610503339">
    <w:abstractNumId w:val="27"/>
  </w:num>
  <w:num w:numId="38" w16cid:durableId="788008667">
    <w:abstractNumId w:val="50"/>
  </w:num>
  <w:num w:numId="39" w16cid:durableId="393817674">
    <w:abstractNumId w:val="15"/>
  </w:num>
  <w:num w:numId="40" w16cid:durableId="737436858">
    <w:abstractNumId w:val="49"/>
  </w:num>
  <w:num w:numId="41" w16cid:durableId="1056780546">
    <w:abstractNumId w:val="68"/>
  </w:num>
  <w:num w:numId="42" w16cid:durableId="1940798649">
    <w:abstractNumId w:val="23"/>
  </w:num>
  <w:num w:numId="43" w16cid:durableId="1364478687">
    <w:abstractNumId w:val="48"/>
  </w:num>
  <w:num w:numId="44" w16cid:durableId="223102355">
    <w:abstractNumId w:val="43"/>
  </w:num>
  <w:num w:numId="45" w16cid:durableId="967974293">
    <w:abstractNumId w:val="24"/>
  </w:num>
  <w:num w:numId="46" w16cid:durableId="147065074">
    <w:abstractNumId w:val="83"/>
  </w:num>
  <w:num w:numId="47" w16cid:durableId="676273425">
    <w:abstractNumId w:val="35"/>
  </w:num>
  <w:num w:numId="48" w16cid:durableId="1452436865">
    <w:abstractNumId w:val="22"/>
  </w:num>
  <w:num w:numId="49" w16cid:durableId="333071170">
    <w:abstractNumId w:val="31"/>
  </w:num>
  <w:num w:numId="50" w16cid:durableId="72897453">
    <w:abstractNumId w:val="18"/>
  </w:num>
  <w:num w:numId="51" w16cid:durableId="479462403">
    <w:abstractNumId w:val="34"/>
  </w:num>
  <w:num w:numId="52" w16cid:durableId="1201094936">
    <w:abstractNumId w:val="67"/>
  </w:num>
  <w:num w:numId="53" w16cid:durableId="1705981040">
    <w:abstractNumId w:val="62"/>
  </w:num>
  <w:num w:numId="54" w16cid:durableId="601572311">
    <w:abstractNumId w:val="45"/>
  </w:num>
  <w:num w:numId="55" w16cid:durableId="1040476751">
    <w:abstractNumId w:val="71"/>
  </w:num>
  <w:num w:numId="56" w16cid:durableId="1189758337">
    <w:abstractNumId w:val="55"/>
  </w:num>
  <w:num w:numId="57" w16cid:durableId="1241333991">
    <w:abstractNumId w:val="42"/>
  </w:num>
  <w:num w:numId="58" w16cid:durableId="1243028548">
    <w:abstractNumId w:val="37"/>
  </w:num>
  <w:num w:numId="59" w16cid:durableId="1941598436">
    <w:abstractNumId w:val="80"/>
  </w:num>
  <w:num w:numId="60" w16cid:durableId="9012117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2841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5446843">
    <w:abstractNumId w:val="44"/>
  </w:num>
  <w:num w:numId="63" w16cid:durableId="1288395451">
    <w:abstractNumId w:val="38"/>
  </w:num>
  <w:num w:numId="64" w16cid:durableId="1952781334">
    <w:abstractNumId w:val="82"/>
  </w:num>
  <w:num w:numId="65" w16cid:durableId="233973285">
    <w:abstractNumId w:val="7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38956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37986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92749769">
    <w:abstractNumId w:val="87"/>
  </w:num>
  <w:num w:numId="69" w16cid:durableId="167641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2453509">
    <w:abstractNumId w:val="86"/>
  </w:num>
  <w:num w:numId="71" w16cid:durableId="1352705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1995503">
    <w:abstractNumId w:val="84"/>
  </w:num>
  <w:num w:numId="73" w16cid:durableId="199785336">
    <w:abstractNumId w:val="47"/>
  </w:num>
  <w:num w:numId="74" w16cid:durableId="322709128">
    <w:abstractNumId w:val="25"/>
  </w:num>
  <w:num w:numId="75" w16cid:durableId="988175248">
    <w:abstractNumId w:val="89"/>
  </w:num>
  <w:num w:numId="76" w16cid:durableId="1059745715">
    <w:abstractNumId w:val="81"/>
  </w:num>
  <w:num w:numId="77" w16cid:durableId="21332095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71494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5384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78931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352962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837017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63160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986490">
    <w:abstractNumId w:val="87"/>
  </w:num>
  <w:num w:numId="85" w16cid:durableId="714351293">
    <w:abstractNumId w:val="63"/>
  </w:num>
  <w:num w:numId="86" w16cid:durableId="372585991">
    <w:abstractNumId w:val="59"/>
  </w:num>
  <w:num w:numId="87" w16cid:durableId="1908418766">
    <w:abstractNumId w:val="3"/>
  </w:num>
  <w:num w:numId="88" w16cid:durableId="1961959301">
    <w:abstractNumId w:val="4"/>
  </w:num>
  <w:num w:numId="89" w16cid:durableId="1953779976">
    <w:abstractNumId w:val="26"/>
  </w:num>
  <w:num w:numId="90" w16cid:durableId="814571155">
    <w:abstractNumId w:val="2"/>
  </w:num>
  <w:num w:numId="91" w16cid:durableId="414402458">
    <w:abstractNumId w:val="12"/>
  </w:num>
  <w:num w:numId="92" w16cid:durableId="1837068325">
    <w:abstractNumId w:val="39"/>
  </w:num>
  <w:num w:numId="93" w16cid:durableId="1382171898">
    <w:abstractNumId w:val="1"/>
  </w:num>
  <w:num w:numId="94" w16cid:durableId="1939831589">
    <w:abstractNumId w:val="8"/>
  </w:num>
  <w:num w:numId="95" w16cid:durableId="693580353">
    <w:abstractNumId w:val="0"/>
  </w:num>
  <w:num w:numId="96" w16cid:durableId="2034500842">
    <w:abstractNumId w:val="5"/>
  </w:num>
  <w:num w:numId="97" w16cid:durableId="1514689323">
    <w:abstractNumId w:val="7"/>
  </w:num>
  <w:num w:numId="98" w16cid:durableId="61294573">
    <w:abstractNumId w:val="6"/>
  </w:num>
  <w:num w:numId="99" w16cid:durableId="1925218143">
    <w:abstractNumId w:val="17"/>
  </w:num>
  <w:num w:numId="100" w16cid:durableId="1842699577">
    <w:abstractNumId w:val="94"/>
  </w:num>
  <w:num w:numId="101" w16cid:durableId="1395274141">
    <w:abstractNumId w:val="79"/>
  </w:num>
  <w:num w:numId="102" w16cid:durableId="773063107">
    <w:abstractNumId w:val="78"/>
  </w:num>
  <w:num w:numId="103" w16cid:durableId="1033729760">
    <w:abstractNumId w:val="76"/>
  </w:num>
  <w:num w:numId="104" w16cid:durableId="1108624857">
    <w:abstractNumId w:val="6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s-ES_tradnl" w:vendorID="64" w:dllVersion="6" w:nlCheck="1" w:checkStyle="0"/>
  <w:activeWritingStyle w:appName="MSWord" w:lang="es-PA" w:vendorID="64" w:dllVersion="6" w:nlCheck="1" w:checkStyle="0"/>
  <w:activeWritingStyle w:appName="MSWord" w:lang="es-PE" w:vendorID="64" w:dllVersion="6" w:nlCheck="1" w:checkStyle="0"/>
  <w:activeWritingStyle w:appName="MSWord" w:lang="es-GT" w:vendorID="64" w:dllVersion="6" w:nlCheck="1" w:checkStyle="0"/>
  <w:activeWritingStyle w:appName="MSWord" w:lang="es-MX" w:vendorID="64" w:dllVersion="0" w:nlCheck="1" w:checkStyle="0"/>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s-PE" w:vendorID="64" w:dllVersion="0" w:nlCheck="1" w:checkStyle="0"/>
  <w:activeWritingStyle w:appName="MSWord" w:lang="en-US" w:vendorID="64" w:dllVersion="0" w:nlCheck="1" w:checkStyle="0"/>
  <w:activeWritingStyle w:appName="MSWord" w:lang="es-CO" w:vendorID="64" w:dllVersion="0" w:nlCheck="1" w:checkStyle="0"/>
  <w:activeWritingStyle w:appName="MSWord" w:lang="es-PA" w:vendorID="64" w:dllVersion="0" w:nlCheck="1" w:checkStyle="0"/>
  <w:activeWritingStyle w:appName="MSWord" w:lang="pt-BR" w:vendorID="64" w:dllVersion="0" w:nlCheck="1" w:checkStyle="0"/>
  <w:activeWritingStyle w:appName="MSWord" w:lang="es-US" w:vendorID="64" w:dllVersion="6"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5F"/>
    <w:rsid w:val="0000165A"/>
    <w:rsid w:val="00004469"/>
    <w:rsid w:val="000058BC"/>
    <w:rsid w:val="00011E4C"/>
    <w:rsid w:val="00013ACB"/>
    <w:rsid w:val="00021D35"/>
    <w:rsid w:val="00025B74"/>
    <w:rsid w:val="00025B9C"/>
    <w:rsid w:val="000279A5"/>
    <w:rsid w:val="0003209B"/>
    <w:rsid w:val="00034347"/>
    <w:rsid w:val="00034E86"/>
    <w:rsid w:val="0003707B"/>
    <w:rsid w:val="00037210"/>
    <w:rsid w:val="00042632"/>
    <w:rsid w:val="0004319B"/>
    <w:rsid w:val="00044C2A"/>
    <w:rsid w:val="000537B0"/>
    <w:rsid w:val="00054C0B"/>
    <w:rsid w:val="0005533B"/>
    <w:rsid w:val="00060477"/>
    <w:rsid w:val="000622E6"/>
    <w:rsid w:val="00064E66"/>
    <w:rsid w:val="00070874"/>
    <w:rsid w:val="00070BD4"/>
    <w:rsid w:val="00072398"/>
    <w:rsid w:val="00081293"/>
    <w:rsid w:val="0008220E"/>
    <w:rsid w:val="000833F6"/>
    <w:rsid w:val="000869F6"/>
    <w:rsid w:val="0008734E"/>
    <w:rsid w:val="000904F0"/>
    <w:rsid w:val="00090590"/>
    <w:rsid w:val="00091834"/>
    <w:rsid w:val="000945DE"/>
    <w:rsid w:val="000A4EF6"/>
    <w:rsid w:val="000A7B4E"/>
    <w:rsid w:val="000B0857"/>
    <w:rsid w:val="000B2CF9"/>
    <w:rsid w:val="000B497F"/>
    <w:rsid w:val="000B4A19"/>
    <w:rsid w:val="000B66FF"/>
    <w:rsid w:val="000C1F93"/>
    <w:rsid w:val="000D0137"/>
    <w:rsid w:val="000D0A7E"/>
    <w:rsid w:val="000D3C57"/>
    <w:rsid w:val="000D43EB"/>
    <w:rsid w:val="000D518B"/>
    <w:rsid w:val="000D7131"/>
    <w:rsid w:val="000E0F7E"/>
    <w:rsid w:val="000E50D5"/>
    <w:rsid w:val="000E5134"/>
    <w:rsid w:val="000E6C44"/>
    <w:rsid w:val="000F02B5"/>
    <w:rsid w:val="001055D1"/>
    <w:rsid w:val="001146BE"/>
    <w:rsid w:val="00114834"/>
    <w:rsid w:val="001162F5"/>
    <w:rsid w:val="001177BC"/>
    <w:rsid w:val="001206ED"/>
    <w:rsid w:val="00120EBF"/>
    <w:rsid w:val="0012196D"/>
    <w:rsid w:val="00123CD4"/>
    <w:rsid w:val="001254AF"/>
    <w:rsid w:val="00126096"/>
    <w:rsid w:val="00135A34"/>
    <w:rsid w:val="00135FFD"/>
    <w:rsid w:val="00143A57"/>
    <w:rsid w:val="00144A3D"/>
    <w:rsid w:val="0015008B"/>
    <w:rsid w:val="00151E99"/>
    <w:rsid w:val="0015294B"/>
    <w:rsid w:val="001557D9"/>
    <w:rsid w:val="001613B5"/>
    <w:rsid w:val="001655EA"/>
    <w:rsid w:val="00165D5D"/>
    <w:rsid w:val="0016634F"/>
    <w:rsid w:val="00167E42"/>
    <w:rsid w:val="00170362"/>
    <w:rsid w:val="001703A2"/>
    <w:rsid w:val="00172F98"/>
    <w:rsid w:val="001738BD"/>
    <w:rsid w:val="00176B38"/>
    <w:rsid w:val="001776FF"/>
    <w:rsid w:val="00177EB8"/>
    <w:rsid w:val="00180C6D"/>
    <w:rsid w:val="00182484"/>
    <w:rsid w:val="00182B71"/>
    <w:rsid w:val="00184D17"/>
    <w:rsid w:val="00185649"/>
    <w:rsid w:val="00185FF3"/>
    <w:rsid w:val="00186458"/>
    <w:rsid w:val="00187F9E"/>
    <w:rsid w:val="00194F48"/>
    <w:rsid w:val="001A2FC2"/>
    <w:rsid w:val="001A615F"/>
    <w:rsid w:val="001A7AD4"/>
    <w:rsid w:val="001B2906"/>
    <w:rsid w:val="001B6C30"/>
    <w:rsid w:val="001C1FAB"/>
    <w:rsid w:val="001D237A"/>
    <w:rsid w:val="001D447F"/>
    <w:rsid w:val="001D53C3"/>
    <w:rsid w:val="001E7CF4"/>
    <w:rsid w:val="001F03BC"/>
    <w:rsid w:val="001F2240"/>
    <w:rsid w:val="001F5FB9"/>
    <w:rsid w:val="00201D1B"/>
    <w:rsid w:val="002022F2"/>
    <w:rsid w:val="00203D4F"/>
    <w:rsid w:val="0020490F"/>
    <w:rsid w:val="0020711F"/>
    <w:rsid w:val="00207660"/>
    <w:rsid w:val="00213F31"/>
    <w:rsid w:val="002143DF"/>
    <w:rsid w:val="002163AE"/>
    <w:rsid w:val="00233FA1"/>
    <w:rsid w:val="002363C9"/>
    <w:rsid w:val="00236B0A"/>
    <w:rsid w:val="00240F5F"/>
    <w:rsid w:val="002414EE"/>
    <w:rsid w:val="00242278"/>
    <w:rsid w:val="00243729"/>
    <w:rsid w:val="0024523C"/>
    <w:rsid w:val="00250E4E"/>
    <w:rsid w:val="002513E6"/>
    <w:rsid w:val="00251601"/>
    <w:rsid w:val="0026451A"/>
    <w:rsid w:val="00266FA7"/>
    <w:rsid w:val="00274DCC"/>
    <w:rsid w:val="00276251"/>
    <w:rsid w:val="002809B7"/>
    <w:rsid w:val="002817B6"/>
    <w:rsid w:val="002826B1"/>
    <w:rsid w:val="00282F90"/>
    <w:rsid w:val="00283C83"/>
    <w:rsid w:val="002860AB"/>
    <w:rsid w:val="00293A1C"/>
    <w:rsid w:val="002959FD"/>
    <w:rsid w:val="00297CCB"/>
    <w:rsid w:val="002A415A"/>
    <w:rsid w:val="002A496E"/>
    <w:rsid w:val="002A64E0"/>
    <w:rsid w:val="002B70AC"/>
    <w:rsid w:val="002B71FD"/>
    <w:rsid w:val="002B7F96"/>
    <w:rsid w:val="002C12F1"/>
    <w:rsid w:val="002C26E6"/>
    <w:rsid w:val="002C2BF8"/>
    <w:rsid w:val="002C33A3"/>
    <w:rsid w:val="002C4467"/>
    <w:rsid w:val="002C7BA2"/>
    <w:rsid w:val="002D1DDA"/>
    <w:rsid w:val="002E1290"/>
    <w:rsid w:val="002E16D5"/>
    <w:rsid w:val="002E3694"/>
    <w:rsid w:val="002E51F1"/>
    <w:rsid w:val="002E5281"/>
    <w:rsid w:val="002F260D"/>
    <w:rsid w:val="002F4DD2"/>
    <w:rsid w:val="002F5394"/>
    <w:rsid w:val="002F6530"/>
    <w:rsid w:val="00305F85"/>
    <w:rsid w:val="003127C6"/>
    <w:rsid w:val="00312930"/>
    <w:rsid w:val="00313F85"/>
    <w:rsid w:val="003147F2"/>
    <w:rsid w:val="003154A8"/>
    <w:rsid w:val="003167C5"/>
    <w:rsid w:val="00317B7C"/>
    <w:rsid w:val="00323020"/>
    <w:rsid w:val="00323855"/>
    <w:rsid w:val="0032586F"/>
    <w:rsid w:val="0032691C"/>
    <w:rsid w:val="003274D3"/>
    <w:rsid w:val="00332BB3"/>
    <w:rsid w:val="0035115F"/>
    <w:rsid w:val="0036073C"/>
    <w:rsid w:val="00362684"/>
    <w:rsid w:val="00362993"/>
    <w:rsid w:val="0036612A"/>
    <w:rsid w:val="00374E56"/>
    <w:rsid w:val="00380BCB"/>
    <w:rsid w:val="00380BF1"/>
    <w:rsid w:val="00384590"/>
    <w:rsid w:val="00384F14"/>
    <w:rsid w:val="00390CE3"/>
    <w:rsid w:val="003914B3"/>
    <w:rsid w:val="00391942"/>
    <w:rsid w:val="00392104"/>
    <w:rsid w:val="003926F2"/>
    <w:rsid w:val="00393F70"/>
    <w:rsid w:val="0039679D"/>
    <w:rsid w:val="003A023C"/>
    <w:rsid w:val="003A3B35"/>
    <w:rsid w:val="003A4012"/>
    <w:rsid w:val="003A6F7F"/>
    <w:rsid w:val="003B0FD6"/>
    <w:rsid w:val="003B35FE"/>
    <w:rsid w:val="003B4A2C"/>
    <w:rsid w:val="003C0010"/>
    <w:rsid w:val="003C0274"/>
    <w:rsid w:val="003C3E08"/>
    <w:rsid w:val="003C3EF9"/>
    <w:rsid w:val="003C6E84"/>
    <w:rsid w:val="003D0394"/>
    <w:rsid w:val="003D48A4"/>
    <w:rsid w:val="003D490F"/>
    <w:rsid w:val="003D4D63"/>
    <w:rsid w:val="003E3D4B"/>
    <w:rsid w:val="003E4863"/>
    <w:rsid w:val="003F44F5"/>
    <w:rsid w:val="00400F5B"/>
    <w:rsid w:val="004017AE"/>
    <w:rsid w:val="00402085"/>
    <w:rsid w:val="0040439B"/>
    <w:rsid w:val="0040624C"/>
    <w:rsid w:val="004100A8"/>
    <w:rsid w:val="00412768"/>
    <w:rsid w:val="00413986"/>
    <w:rsid w:val="0042411A"/>
    <w:rsid w:val="004273EA"/>
    <w:rsid w:val="00430983"/>
    <w:rsid w:val="00436F00"/>
    <w:rsid w:val="0043767A"/>
    <w:rsid w:val="004432EC"/>
    <w:rsid w:val="004438B7"/>
    <w:rsid w:val="0044655D"/>
    <w:rsid w:val="004504ED"/>
    <w:rsid w:val="00450914"/>
    <w:rsid w:val="004527BC"/>
    <w:rsid w:val="00452EEC"/>
    <w:rsid w:val="00452FF0"/>
    <w:rsid w:val="00457B3C"/>
    <w:rsid w:val="004628E3"/>
    <w:rsid w:val="0046324D"/>
    <w:rsid w:val="004649AB"/>
    <w:rsid w:val="00464D99"/>
    <w:rsid w:val="00467F63"/>
    <w:rsid w:val="0047093A"/>
    <w:rsid w:val="00472E22"/>
    <w:rsid w:val="00483060"/>
    <w:rsid w:val="004845C8"/>
    <w:rsid w:val="00486829"/>
    <w:rsid w:val="00487C9E"/>
    <w:rsid w:val="00490C98"/>
    <w:rsid w:val="004945C3"/>
    <w:rsid w:val="0049470C"/>
    <w:rsid w:val="00494F0E"/>
    <w:rsid w:val="004971D0"/>
    <w:rsid w:val="004A2301"/>
    <w:rsid w:val="004A5B00"/>
    <w:rsid w:val="004A74A8"/>
    <w:rsid w:val="004B14D6"/>
    <w:rsid w:val="004B595A"/>
    <w:rsid w:val="004C0068"/>
    <w:rsid w:val="004C53CD"/>
    <w:rsid w:val="004C5EA9"/>
    <w:rsid w:val="004C7233"/>
    <w:rsid w:val="004C75F1"/>
    <w:rsid w:val="004C76EE"/>
    <w:rsid w:val="004D0023"/>
    <w:rsid w:val="004D0343"/>
    <w:rsid w:val="004D47DD"/>
    <w:rsid w:val="004D5332"/>
    <w:rsid w:val="004E10C9"/>
    <w:rsid w:val="004F17B4"/>
    <w:rsid w:val="004F5C17"/>
    <w:rsid w:val="004F688A"/>
    <w:rsid w:val="004F7351"/>
    <w:rsid w:val="005024B7"/>
    <w:rsid w:val="00515BB2"/>
    <w:rsid w:val="005168F6"/>
    <w:rsid w:val="00520CAB"/>
    <w:rsid w:val="005236AF"/>
    <w:rsid w:val="00523EF1"/>
    <w:rsid w:val="00525046"/>
    <w:rsid w:val="00525AFE"/>
    <w:rsid w:val="00537AF7"/>
    <w:rsid w:val="00540A60"/>
    <w:rsid w:val="005411D1"/>
    <w:rsid w:val="00543321"/>
    <w:rsid w:val="00544454"/>
    <w:rsid w:val="00546C70"/>
    <w:rsid w:val="00546FF9"/>
    <w:rsid w:val="00550D13"/>
    <w:rsid w:val="00552A56"/>
    <w:rsid w:val="00554638"/>
    <w:rsid w:val="00555702"/>
    <w:rsid w:val="0056094F"/>
    <w:rsid w:val="005639FB"/>
    <w:rsid w:val="00564219"/>
    <w:rsid w:val="00564E8E"/>
    <w:rsid w:val="00565BBF"/>
    <w:rsid w:val="00571458"/>
    <w:rsid w:val="00571A45"/>
    <w:rsid w:val="00572707"/>
    <w:rsid w:val="005728EA"/>
    <w:rsid w:val="00585A0E"/>
    <w:rsid w:val="0058660E"/>
    <w:rsid w:val="00594132"/>
    <w:rsid w:val="005975AA"/>
    <w:rsid w:val="005A352A"/>
    <w:rsid w:val="005B2030"/>
    <w:rsid w:val="005B6A17"/>
    <w:rsid w:val="005B7289"/>
    <w:rsid w:val="005B7C72"/>
    <w:rsid w:val="005C051D"/>
    <w:rsid w:val="005C1F42"/>
    <w:rsid w:val="005C24B6"/>
    <w:rsid w:val="005C3131"/>
    <w:rsid w:val="005C4A51"/>
    <w:rsid w:val="005D0B73"/>
    <w:rsid w:val="005D72C0"/>
    <w:rsid w:val="005E197B"/>
    <w:rsid w:val="005E3847"/>
    <w:rsid w:val="005E453C"/>
    <w:rsid w:val="005E6FCD"/>
    <w:rsid w:val="005F4392"/>
    <w:rsid w:val="005F48FC"/>
    <w:rsid w:val="005F6E1E"/>
    <w:rsid w:val="005F7033"/>
    <w:rsid w:val="00603C5D"/>
    <w:rsid w:val="006062DB"/>
    <w:rsid w:val="0060720A"/>
    <w:rsid w:val="00607A98"/>
    <w:rsid w:val="00610CA6"/>
    <w:rsid w:val="006128DC"/>
    <w:rsid w:val="00615F6F"/>
    <w:rsid w:val="00620F13"/>
    <w:rsid w:val="00621D3B"/>
    <w:rsid w:val="00622045"/>
    <w:rsid w:val="00622F8A"/>
    <w:rsid w:val="00624512"/>
    <w:rsid w:val="00624865"/>
    <w:rsid w:val="00624899"/>
    <w:rsid w:val="00626033"/>
    <w:rsid w:val="00627862"/>
    <w:rsid w:val="00632CE2"/>
    <w:rsid w:val="00632D4D"/>
    <w:rsid w:val="006363B0"/>
    <w:rsid w:val="0063735F"/>
    <w:rsid w:val="0064046F"/>
    <w:rsid w:val="006475F8"/>
    <w:rsid w:val="0065021D"/>
    <w:rsid w:val="00651C81"/>
    <w:rsid w:val="0065507C"/>
    <w:rsid w:val="00657E7D"/>
    <w:rsid w:val="00660DE2"/>
    <w:rsid w:val="0066453C"/>
    <w:rsid w:val="00667B5C"/>
    <w:rsid w:val="00677EAB"/>
    <w:rsid w:val="00687A64"/>
    <w:rsid w:val="00687D66"/>
    <w:rsid w:val="006900E1"/>
    <w:rsid w:val="00692578"/>
    <w:rsid w:val="00696487"/>
    <w:rsid w:val="006A116E"/>
    <w:rsid w:val="006A4B07"/>
    <w:rsid w:val="006A5B51"/>
    <w:rsid w:val="006A5C51"/>
    <w:rsid w:val="006A7F24"/>
    <w:rsid w:val="006B02B9"/>
    <w:rsid w:val="006B309A"/>
    <w:rsid w:val="006B640C"/>
    <w:rsid w:val="006B726E"/>
    <w:rsid w:val="006C1066"/>
    <w:rsid w:val="006C3558"/>
    <w:rsid w:val="006C39C8"/>
    <w:rsid w:val="006C5E48"/>
    <w:rsid w:val="006C5EB0"/>
    <w:rsid w:val="006D0EAD"/>
    <w:rsid w:val="006D2F7D"/>
    <w:rsid w:val="006D3704"/>
    <w:rsid w:val="006D37CD"/>
    <w:rsid w:val="006E04B1"/>
    <w:rsid w:val="006E3C9C"/>
    <w:rsid w:val="006F0082"/>
    <w:rsid w:val="006F1EF6"/>
    <w:rsid w:val="006F2F51"/>
    <w:rsid w:val="006F6595"/>
    <w:rsid w:val="006F69D2"/>
    <w:rsid w:val="006F7C49"/>
    <w:rsid w:val="007000A7"/>
    <w:rsid w:val="0070362D"/>
    <w:rsid w:val="007108AF"/>
    <w:rsid w:val="00712C9C"/>
    <w:rsid w:val="0071403A"/>
    <w:rsid w:val="007160F5"/>
    <w:rsid w:val="007176DE"/>
    <w:rsid w:val="00721AF7"/>
    <w:rsid w:val="00722356"/>
    <w:rsid w:val="00722545"/>
    <w:rsid w:val="00722B0D"/>
    <w:rsid w:val="00725CD6"/>
    <w:rsid w:val="00727E68"/>
    <w:rsid w:val="00730FDA"/>
    <w:rsid w:val="007327C5"/>
    <w:rsid w:val="007430A9"/>
    <w:rsid w:val="0075319E"/>
    <w:rsid w:val="007552B5"/>
    <w:rsid w:val="007562F5"/>
    <w:rsid w:val="007571C6"/>
    <w:rsid w:val="00757282"/>
    <w:rsid w:val="00761289"/>
    <w:rsid w:val="0076644E"/>
    <w:rsid w:val="00771C08"/>
    <w:rsid w:val="00773046"/>
    <w:rsid w:val="00773A95"/>
    <w:rsid w:val="007834C0"/>
    <w:rsid w:val="00784CB5"/>
    <w:rsid w:val="00791D14"/>
    <w:rsid w:val="007A4AED"/>
    <w:rsid w:val="007A561F"/>
    <w:rsid w:val="007A6047"/>
    <w:rsid w:val="007A67DF"/>
    <w:rsid w:val="007B1E83"/>
    <w:rsid w:val="007B321D"/>
    <w:rsid w:val="007B7084"/>
    <w:rsid w:val="007C24FB"/>
    <w:rsid w:val="007C7A8A"/>
    <w:rsid w:val="007D17B3"/>
    <w:rsid w:val="007D78A7"/>
    <w:rsid w:val="007E4470"/>
    <w:rsid w:val="007E5497"/>
    <w:rsid w:val="007E75AB"/>
    <w:rsid w:val="007F2B68"/>
    <w:rsid w:val="007F3403"/>
    <w:rsid w:val="007F5B04"/>
    <w:rsid w:val="00805273"/>
    <w:rsid w:val="00805984"/>
    <w:rsid w:val="0080763E"/>
    <w:rsid w:val="0081186D"/>
    <w:rsid w:val="00812EA0"/>
    <w:rsid w:val="00813506"/>
    <w:rsid w:val="00815673"/>
    <w:rsid w:val="00815B61"/>
    <w:rsid w:val="00820E40"/>
    <w:rsid w:val="00825D56"/>
    <w:rsid w:val="00830ED5"/>
    <w:rsid w:val="00832BC4"/>
    <w:rsid w:val="00834529"/>
    <w:rsid w:val="00835E1C"/>
    <w:rsid w:val="008372F1"/>
    <w:rsid w:val="0084366F"/>
    <w:rsid w:val="0084683A"/>
    <w:rsid w:val="00847B8C"/>
    <w:rsid w:val="0085143A"/>
    <w:rsid w:val="0085173E"/>
    <w:rsid w:val="008574EB"/>
    <w:rsid w:val="008645D4"/>
    <w:rsid w:val="00865DA8"/>
    <w:rsid w:val="00870B7D"/>
    <w:rsid w:val="00870DC3"/>
    <w:rsid w:val="0087438F"/>
    <w:rsid w:val="00892DA2"/>
    <w:rsid w:val="008934C8"/>
    <w:rsid w:val="00896826"/>
    <w:rsid w:val="008B0193"/>
    <w:rsid w:val="008B255E"/>
    <w:rsid w:val="008B2D70"/>
    <w:rsid w:val="008B328C"/>
    <w:rsid w:val="008B4EA2"/>
    <w:rsid w:val="008C019B"/>
    <w:rsid w:val="008C513D"/>
    <w:rsid w:val="008D1BAF"/>
    <w:rsid w:val="008D28D6"/>
    <w:rsid w:val="008D491D"/>
    <w:rsid w:val="008D551B"/>
    <w:rsid w:val="008D573A"/>
    <w:rsid w:val="008D5FF7"/>
    <w:rsid w:val="008E048E"/>
    <w:rsid w:val="008E145A"/>
    <w:rsid w:val="008E37F3"/>
    <w:rsid w:val="008E5BA2"/>
    <w:rsid w:val="00900612"/>
    <w:rsid w:val="00900868"/>
    <w:rsid w:val="00900AD7"/>
    <w:rsid w:val="00901553"/>
    <w:rsid w:val="0090411C"/>
    <w:rsid w:val="0090766F"/>
    <w:rsid w:val="009077DC"/>
    <w:rsid w:val="00915EEE"/>
    <w:rsid w:val="009168E0"/>
    <w:rsid w:val="00916AA4"/>
    <w:rsid w:val="009226D3"/>
    <w:rsid w:val="00923094"/>
    <w:rsid w:val="0092422A"/>
    <w:rsid w:val="00927D9A"/>
    <w:rsid w:val="00930476"/>
    <w:rsid w:val="00933BBD"/>
    <w:rsid w:val="00933C24"/>
    <w:rsid w:val="0093626F"/>
    <w:rsid w:val="009377DF"/>
    <w:rsid w:val="00937C36"/>
    <w:rsid w:val="00941759"/>
    <w:rsid w:val="00941F5E"/>
    <w:rsid w:val="00943F9C"/>
    <w:rsid w:val="00944633"/>
    <w:rsid w:val="00947E11"/>
    <w:rsid w:val="00950911"/>
    <w:rsid w:val="00953968"/>
    <w:rsid w:val="00956A90"/>
    <w:rsid w:val="00956F90"/>
    <w:rsid w:val="00957BCE"/>
    <w:rsid w:val="009638CF"/>
    <w:rsid w:val="00964046"/>
    <w:rsid w:val="00972FDD"/>
    <w:rsid w:val="00973421"/>
    <w:rsid w:val="00987235"/>
    <w:rsid w:val="00993DE7"/>
    <w:rsid w:val="00995E70"/>
    <w:rsid w:val="009A020C"/>
    <w:rsid w:val="009A0F73"/>
    <w:rsid w:val="009A3F15"/>
    <w:rsid w:val="009B06EB"/>
    <w:rsid w:val="009B0FFE"/>
    <w:rsid w:val="009B4DAD"/>
    <w:rsid w:val="009B62BC"/>
    <w:rsid w:val="009B7585"/>
    <w:rsid w:val="009B784A"/>
    <w:rsid w:val="009C1330"/>
    <w:rsid w:val="009C3E60"/>
    <w:rsid w:val="009C67E2"/>
    <w:rsid w:val="009D0D98"/>
    <w:rsid w:val="009D5F6B"/>
    <w:rsid w:val="009D6639"/>
    <w:rsid w:val="009E0505"/>
    <w:rsid w:val="009E72F7"/>
    <w:rsid w:val="009F20EB"/>
    <w:rsid w:val="009F6BBF"/>
    <w:rsid w:val="00A0141C"/>
    <w:rsid w:val="00A03437"/>
    <w:rsid w:val="00A04371"/>
    <w:rsid w:val="00A04F25"/>
    <w:rsid w:val="00A055A3"/>
    <w:rsid w:val="00A06845"/>
    <w:rsid w:val="00A06B14"/>
    <w:rsid w:val="00A147A1"/>
    <w:rsid w:val="00A206F4"/>
    <w:rsid w:val="00A20BDC"/>
    <w:rsid w:val="00A23A94"/>
    <w:rsid w:val="00A31FE5"/>
    <w:rsid w:val="00A33C9A"/>
    <w:rsid w:val="00A341FF"/>
    <w:rsid w:val="00A34692"/>
    <w:rsid w:val="00A37230"/>
    <w:rsid w:val="00A37899"/>
    <w:rsid w:val="00A4186E"/>
    <w:rsid w:val="00A44A7A"/>
    <w:rsid w:val="00A453A1"/>
    <w:rsid w:val="00A47191"/>
    <w:rsid w:val="00A47694"/>
    <w:rsid w:val="00A50416"/>
    <w:rsid w:val="00A50F61"/>
    <w:rsid w:val="00A51443"/>
    <w:rsid w:val="00A51CC3"/>
    <w:rsid w:val="00A51DE9"/>
    <w:rsid w:val="00A5462F"/>
    <w:rsid w:val="00A55EF8"/>
    <w:rsid w:val="00A63969"/>
    <w:rsid w:val="00A649D3"/>
    <w:rsid w:val="00A65F5F"/>
    <w:rsid w:val="00A669FD"/>
    <w:rsid w:val="00A672DF"/>
    <w:rsid w:val="00A763CE"/>
    <w:rsid w:val="00A76551"/>
    <w:rsid w:val="00A83243"/>
    <w:rsid w:val="00A8401F"/>
    <w:rsid w:val="00A85CA5"/>
    <w:rsid w:val="00A85FAB"/>
    <w:rsid w:val="00A86615"/>
    <w:rsid w:val="00A91283"/>
    <w:rsid w:val="00A92245"/>
    <w:rsid w:val="00A92458"/>
    <w:rsid w:val="00A954F5"/>
    <w:rsid w:val="00AA3CE8"/>
    <w:rsid w:val="00AB0EB8"/>
    <w:rsid w:val="00AB5B96"/>
    <w:rsid w:val="00AB7185"/>
    <w:rsid w:val="00AC183A"/>
    <w:rsid w:val="00AC29BF"/>
    <w:rsid w:val="00AC31EA"/>
    <w:rsid w:val="00AC4D6B"/>
    <w:rsid w:val="00AC4EFA"/>
    <w:rsid w:val="00AC56C7"/>
    <w:rsid w:val="00AC74F3"/>
    <w:rsid w:val="00AD3764"/>
    <w:rsid w:val="00AD3992"/>
    <w:rsid w:val="00AE5619"/>
    <w:rsid w:val="00AF0124"/>
    <w:rsid w:val="00AF0A62"/>
    <w:rsid w:val="00AF53F9"/>
    <w:rsid w:val="00AF7847"/>
    <w:rsid w:val="00B03B4B"/>
    <w:rsid w:val="00B10976"/>
    <w:rsid w:val="00B131AE"/>
    <w:rsid w:val="00B15038"/>
    <w:rsid w:val="00B15B83"/>
    <w:rsid w:val="00B16681"/>
    <w:rsid w:val="00B173D2"/>
    <w:rsid w:val="00B2379A"/>
    <w:rsid w:val="00B26D33"/>
    <w:rsid w:val="00B318A5"/>
    <w:rsid w:val="00B3219B"/>
    <w:rsid w:val="00B338E8"/>
    <w:rsid w:val="00B348DF"/>
    <w:rsid w:val="00B35FD7"/>
    <w:rsid w:val="00B370F9"/>
    <w:rsid w:val="00B41740"/>
    <w:rsid w:val="00B5241B"/>
    <w:rsid w:val="00B5371B"/>
    <w:rsid w:val="00B60A9F"/>
    <w:rsid w:val="00B622C9"/>
    <w:rsid w:val="00B627F4"/>
    <w:rsid w:val="00B637B0"/>
    <w:rsid w:val="00B64D04"/>
    <w:rsid w:val="00B6757A"/>
    <w:rsid w:val="00B6781C"/>
    <w:rsid w:val="00B72FF4"/>
    <w:rsid w:val="00B75504"/>
    <w:rsid w:val="00B75ADA"/>
    <w:rsid w:val="00B77B15"/>
    <w:rsid w:val="00B8384F"/>
    <w:rsid w:val="00B842D9"/>
    <w:rsid w:val="00B92EE4"/>
    <w:rsid w:val="00B93EA2"/>
    <w:rsid w:val="00B944DA"/>
    <w:rsid w:val="00BA08EC"/>
    <w:rsid w:val="00BA3511"/>
    <w:rsid w:val="00BA77CE"/>
    <w:rsid w:val="00BB4DCB"/>
    <w:rsid w:val="00BB51E5"/>
    <w:rsid w:val="00BB5DA7"/>
    <w:rsid w:val="00BB6C29"/>
    <w:rsid w:val="00BB7CAB"/>
    <w:rsid w:val="00BC205C"/>
    <w:rsid w:val="00BC4969"/>
    <w:rsid w:val="00BC49EB"/>
    <w:rsid w:val="00BC4B71"/>
    <w:rsid w:val="00BC78A1"/>
    <w:rsid w:val="00BD108C"/>
    <w:rsid w:val="00BD113E"/>
    <w:rsid w:val="00BD466E"/>
    <w:rsid w:val="00BE2365"/>
    <w:rsid w:val="00BE41D9"/>
    <w:rsid w:val="00BE79B8"/>
    <w:rsid w:val="00BF03C1"/>
    <w:rsid w:val="00C0460A"/>
    <w:rsid w:val="00C05E62"/>
    <w:rsid w:val="00C16CB2"/>
    <w:rsid w:val="00C17526"/>
    <w:rsid w:val="00C17F0D"/>
    <w:rsid w:val="00C20CC4"/>
    <w:rsid w:val="00C21639"/>
    <w:rsid w:val="00C2330D"/>
    <w:rsid w:val="00C2370A"/>
    <w:rsid w:val="00C23D97"/>
    <w:rsid w:val="00C23F48"/>
    <w:rsid w:val="00C30259"/>
    <w:rsid w:val="00C344B9"/>
    <w:rsid w:val="00C4144B"/>
    <w:rsid w:val="00C4260B"/>
    <w:rsid w:val="00C441A4"/>
    <w:rsid w:val="00C46F1A"/>
    <w:rsid w:val="00C511AA"/>
    <w:rsid w:val="00C51764"/>
    <w:rsid w:val="00C545C7"/>
    <w:rsid w:val="00C568C0"/>
    <w:rsid w:val="00C648C7"/>
    <w:rsid w:val="00C670D3"/>
    <w:rsid w:val="00C71254"/>
    <w:rsid w:val="00C72367"/>
    <w:rsid w:val="00C73909"/>
    <w:rsid w:val="00C747C8"/>
    <w:rsid w:val="00C74B48"/>
    <w:rsid w:val="00C8007F"/>
    <w:rsid w:val="00C80B0D"/>
    <w:rsid w:val="00C81C02"/>
    <w:rsid w:val="00C8258B"/>
    <w:rsid w:val="00C82679"/>
    <w:rsid w:val="00C830A5"/>
    <w:rsid w:val="00C838D7"/>
    <w:rsid w:val="00C83BE1"/>
    <w:rsid w:val="00C85743"/>
    <w:rsid w:val="00C863A6"/>
    <w:rsid w:val="00C87D31"/>
    <w:rsid w:val="00C90CF1"/>
    <w:rsid w:val="00C915F4"/>
    <w:rsid w:val="00C95246"/>
    <w:rsid w:val="00C97897"/>
    <w:rsid w:val="00CA10DA"/>
    <w:rsid w:val="00CA4C3B"/>
    <w:rsid w:val="00CA72A4"/>
    <w:rsid w:val="00CB0EF2"/>
    <w:rsid w:val="00CB5297"/>
    <w:rsid w:val="00CB5E33"/>
    <w:rsid w:val="00CB77F2"/>
    <w:rsid w:val="00CC0AF7"/>
    <w:rsid w:val="00CC1E51"/>
    <w:rsid w:val="00CC2A71"/>
    <w:rsid w:val="00CC74F4"/>
    <w:rsid w:val="00CD3A7A"/>
    <w:rsid w:val="00CD40B2"/>
    <w:rsid w:val="00CE3D02"/>
    <w:rsid w:val="00CE626B"/>
    <w:rsid w:val="00CF090A"/>
    <w:rsid w:val="00CF23A5"/>
    <w:rsid w:val="00CF36B8"/>
    <w:rsid w:val="00D00398"/>
    <w:rsid w:val="00D0166A"/>
    <w:rsid w:val="00D1036E"/>
    <w:rsid w:val="00D10AA4"/>
    <w:rsid w:val="00D11ED4"/>
    <w:rsid w:val="00D13CFE"/>
    <w:rsid w:val="00D157A5"/>
    <w:rsid w:val="00D217C1"/>
    <w:rsid w:val="00D21D8B"/>
    <w:rsid w:val="00D24B79"/>
    <w:rsid w:val="00D33822"/>
    <w:rsid w:val="00D340CD"/>
    <w:rsid w:val="00D37F2A"/>
    <w:rsid w:val="00D45D17"/>
    <w:rsid w:val="00D563AE"/>
    <w:rsid w:val="00D566C3"/>
    <w:rsid w:val="00D62E64"/>
    <w:rsid w:val="00D7382A"/>
    <w:rsid w:val="00D74F7D"/>
    <w:rsid w:val="00D7708E"/>
    <w:rsid w:val="00D773FE"/>
    <w:rsid w:val="00D838E7"/>
    <w:rsid w:val="00D85199"/>
    <w:rsid w:val="00D90A0C"/>
    <w:rsid w:val="00D91DD8"/>
    <w:rsid w:val="00D92CD7"/>
    <w:rsid w:val="00DA1645"/>
    <w:rsid w:val="00DA79B0"/>
    <w:rsid w:val="00DB4441"/>
    <w:rsid w:val="00DB452B"/>
    <w:rsid w:val="00DB492E"/>
    <w:rsid w:val="00DB6032"/>
    <w:rsid w:val="00DB7584"/>
    <w:rsid w:val="00DB7B5A"/>
    <w:rsid w:val="00DC3510"/>
    <w:rsid w:val="00DC50E4"/>
    <w:rsid w:val="00DD0FB9"/>
    <w:rsid w:val="00DD1E6D"/>
    <w:rsid w:val="00DD2308"/>
    <w:rsid w:val="00DD317B"/>
    <w:rsid w:val="00DE35D4"/>
    <w:rsid w:val="00DE4F78"/>
    <w:rsid w:val="00DE70BE"/>
    <w:rsid w:val="00DF0770"/>
    <w:rsid w:val="00DF5143"/>
    <w:rsid w:val="00DF6D60"/>
    <w:rsid w:val="00DF6F34"/>
    <w:rsid w:val="00E04633"/>
    <w:rsid w:val="00E05ED3"/>
    <w:rsid w:val="00E10B49"/>
    <w:rsid w:val="00E113FF"/>
    <w:rsid w:val="00E1275E"/>
    <w:rsid w:val="00E16730"/>
    <w:rsid w:val="00E17B24"/>
    <w:rsid w:val="00E21FFD"/>
    <w:rsid w:val="00E2202F"/>
    <w:rsid w:val="00E25DC6"/>
    <w:rsid w:val="00E26C40"/>
    <w:rsid w:val="00E34F7D"/>
    <w:rsid w:val="00E3705F"/>
    <w:rsid w:val="00E449A6"/>
    <w:rsid w:val="00E45FF0"/>
    <w:rsid w:val="00E5445A"/>
    <w:rsid w:val="00E54474"/>
    <w:rsid w:val="00E5455B"/>
    <w:rsid w:val="00E550BB"/>
    <w:rsid w:val="00E5548F"/>
    <w:rsid w:val="00E56F34"/>
    <w:rsid w:val="00E609C2"/>
    <w:rsid w:val="00E71859"/>
    <w:rsid w:val="00E71A6E"/>
    <w:rsid w:val="00E722BB"/>
    <w:rsid w:val="00E75248"/>
    <w:rsid w:val="00E77914"/>
    <w:rsid w:val="00E84E9E"/>
    <w:rsid w:val="00E92822"/>
    <w:rsid w:val="00E953F7"/>
    <w:rsid w:val="00E97E85"/>
    <w:rsid w:val="00E97EF6"/>
    <w:rsid w:val="00EA1031"/>
    <w:rsid w:val="00EA18C3"/>
    <w:rsid w:val="00EB05F3"/>
    <w:rsid w:val="00EB755A"/>
    <w:rsid w:val="00EB7758"/>
    <w:rsid w:val="00EC21A5"/>
    <w:rsid w:val="00ED6A07"/>
    <w:rsid w:val="00ED7191"/>
    <w:rsid w:val="00EE31B1"/>
    <w:rsid w:val="00EE4920"/>
    <w:rsid w:val="00EE6324"/>
    <w:rsid w:val="00EE7ADB"/>
    <w:rsid w:val="00EF0D70"/>
    <w:rsid w:val="00EF25FD"/>
    <w:rsid w:val="00EF2A17"/>
    <w:rsid w:val="00EF4243"/>
    <w:rsid w:val="00EF5815"/>
    <w:rsid w:val="00F006DD"/>
    <w:rsid w:val="00F05D67"/>
    <w:rsid w:val="00F0646A"/>
    <w:rsid w:val="00F06FBA"/>
    <w:rsid w:val="00F17255"/>
    <w:rsid w:val="00F22E3C"/>
    <w:rsid w:val="00F231C4"/>
    <w:rsid w:val="00F236F8"/>
    <w:rsid w:val="00F26943"/>
    <w:rsid w:val="00F26D26"/>
    <w:rsid w:val="00F26E32"/>
    <w:rsid w:val="00F27F24"/>
    <w:rsid w:val="00F30C4F"/>
    <w:rsid w:val="00F31B70"/>
    <w:rsid w:val="00F34CE0"/>
    <w:rsid w:val="00F34E00"/>
    <w:rsid w:val="00F3586E"/>
    <w:rsid w:val="00F35B19"/>
    <w:rsid w:val="00F422EA"/>
    <w:rsid w:val="00F42A35"/>
    <w:rsid w:val="00F435D8"/>
    <w:rsid w:val="00F43F60"/>
    <w:rsid w:val="00F44403"/>
    <w:rsid w:val="00F553EA"/>
    <w:rsid w:val="00F571ED"/>
    <w:rsid w:val="00F61C97"/>
    <w:rsid w:val="00F63D7D"/>
    <w:rsid w:val="00F64BB0"/>
    <w:rsid w:val="00F80F02"/>
    <w:rsid w:val="00F8773B"/>
    <w:rsid w:val="00F87E23"/>
    <w:rsid w:val="00F906C9"/>
    <w:rsid w:val="00F91937"/>
    <w:rsid w:val="00F91A49"/>
    <w:rsid w:val="00F91B93"/>
    <w:rsid w:val="00F92BB8"/>
    <w:rsid w:val="00F92F21"/>
    <w:rsid w:val="00F93266"/>
    <w:rsid w:val="00F939A8"/>
    <w:rsid w:val="00F95967"/>
    <w:rsid w:val="00FA793E"/>
    <w:rsid w:val="00FB2C4E"/>
    <w:rsid w:val="00FB3CD2"/>
    <w:rsid w:val="00FB5941"/>
    <w:rsid w:val="00FB5F87"/>
    <w:rsid w:val="00FC10A4"/>
    <w:rsid w:val="00FC1CE2"/>
    <w:rsid w:val="00FC1E3A"/>
    <w:rsid w:val="00FC2DFA"/>
    <w:rsid w:val="00FC457D"/>
    <w:rsid w:val="00FC688F"/>
    <w:rsid w:val="00FD1A72"/>
    <w:rsid w:val="00FE0D00"/>
    <w:rsid w:val="00FE3A9C"/>
    <w:rsid w:val="00FE64FD"/>
    <w:rsid w:val="00FE7E95"/>
    <w:rsid w:val="00FF0AC4"/>
    <w:rsid w:val="00FF15F6"/>
    <w:rsid w:val="00FF3B96"/>
    <w:rsid w:val="00FF5F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CE92"/>
  <w15:chartTrackingRefBased/>
  <w15:docId w15:val="{A0F73150-FC9F-499E-A81F-AE34425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5F"/>
    <w:pPr>
      <w:spacing w:after="0" w:line="240" w:lineRule="auto"/>
      <w:ind w:right="-23"/>
      <w:jc w:val="both"/>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autoRedefine/>
    <w:uiPriority w:val="9"/>
    <w:qFormat/>
    <w:rsid w:val="00A65F5F"/>
    <w:pPr>
      <w:keepNext/>
      <w:spacing w:before="100" w:beforeAutospacing="1" w:after="60"/>
      <w:ind w:left="720"/>
      <w:jc w:val="center"/>
      <w:outlineLvl w:val="0"/>
    </w:pPr>
    <w:rPr>
      <w:rFonts w:ascii="Calibri" w:hAnsi="Calibri" w:cs="Arial"/>
      <w:b/>
      <w:bCs/>
      <w:kern w:val="32"/>
      <w:sz w:val="28"/>
      <w:szCs w:val="28"/>
    </w:rPr>
  </w:style>
  <w:style w:type="paragraph" w:styleId="Ttulo2">
    <w:name w:val="heading 2"/>
    <w:basedOn w:val="Normal"/>
    <w:next w:val="Normal"/>
    <w:link w:val="Ttulo2Car"/>
    <w:autoRedefine/>
    <w:uiPriority w:val="9"/>
    <w:qFormat/>
    <w:rsid w:val="00A65F5F"/>
    <w:pPr>
      <w:keepNext/>
      <w:numPr>
        <w:ilvl w:val="1"/>
        <w:numId w:val="46"/>
      </w:numPr>
      <w:spacing w:before="240" w:after="60"/>
      <w:outlineLvl w:val="1"/>
    </w:pPr>
    <w:rPr>
      <w:rFonts w:ascii="Arial" w:hAnsi="Arial" w:cs="Arial"/>
      <w:bCs/>
      <w:iCs/>
      <w:sz w:val="22"/>
      <w:szCs w:val="28"/>
      <w:lang w:val="es-ES"/>
    </w:rPr>
  </w:style>
  <w:style w:type="paragraph" w:styleId="Ttulo3">
    <w:name w:val="heading 3"/>
    <w:basedOn w:val="Normal"/>
    <w:next w:val="Normal"/>
    <w:link w:val="Ttulo3Car"/>
    <w:uiPriority w:val="9"/>
    <w:qFormat/>
    <w:rsid w:val="00A65F5F"/>
    <w:pPr>
      <w:keepNext/>
      <w:spacing w:before="240" w:after="60"/>
      <w:ind w:left="708"/>
      <w:outlineLvl w:val="2"/>
    </w:pPr>
    <w:rPr>
      <w:rFonts w:ascii="Arial" w:hAnsi="Arial" w:cs="Arial"/>
      <w:bCs/>
      <w:sz w:val="22"/>
      <w:szCs w:val="26"/>
    </w:rPr>
  </w:style>
  <w:style w:type="paragraph" w:styleId="Ttulo4">
    <w:name w:val="heading 4"/>
    <w:basedOn w:val="Normal"/>
    <w:next w:val="Normal"/>
    <w:link w:val="Ttulo4Car"/>
    <w:uiPriority w:val="9"/>
    <w:qFormat/>
    <w:rsid w:val="00A65F5F"/>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F5F"/>
    <w:rPr>
      <w:rFonts w:ascii="Calibri" w:eastAsia="Times New Roman" w:hAnsi="Calibri" w:cs="Arial"/>
      <w:b/>
      <w:bCs/>
      <w:kern w:val="32"/>
      <w:sz w:val="28"/>
      <w:szCs w:val="28"/>
      <w:lang w:val="es-MX" w:eastAsia="es-MX"/>
    </w:rPr>
  </w:style>
  <w:style w:type="character" w:customStyle="1" w:styleId="Ttulo2Car">
    <w:name w:val="Título 2 Car"/>
    <w:basedOn w:val="Fuentedeprrafopredeter"/>
    <w:link w:val="Ttulo2"/>
    <w:uiPriority w:val="9"/>
    <w:rsid w:val="00A65F5F"/>
    <w:rPr>
      <w:rFonts w:ascii="Arial" w:eastAsia="Times New Roman" w:hAnsi="Arial" w:cs="Arial"/>
      <w:bCs/>
      <w:iCs/>
      <w:szCs w:val="28"/>
      <w:lang w:val="es-ES" w:eastAsia="es-MX"/>
    </w:rPr>
  </w:style>
  <w:style w:type="character" w:customStyle="1" w:styleId="Ttulo3Car">
    <w:name w:val="Título 3 Car"/>
    <w:basedOn w:val="Fuentedeprrafopredeter"/>
    <w:link w:val="Ttulo3"/>
    <w:uiPriority w:val="9"/>
    <w:rsid w:val="00A65F5F"/>
    <w:rPr>
      <w:rFonts w:ascii="Arial" w:eastAsia="Times New Roman" w:hAnsi="Arial" w:cs="Arial"/>
      <w:bCs/>
      <w:szCs w:val="26"/>
      <w:lang w:val="es-MX" w:eastAsia="es-MX"/>
    </w:rPr>
  </w:style>
  <w:style w:type="character" w:customStyle="1" w:styleId="Ttulo4Car">
    <w:name w:val="Título 4 Car"/>
    <w:basedOn w:val="Fuentedeprrafopredeter"/>
    <w:link w:val="Ttulo4"/>
    <w:uiPriority w:val="9"/>
    <w:rsid w:val="00A65F5F"/>
    <w:rPr>
      <w:rFonts w:ascii="Times New Roman" w:eastAsia="Times New Roman" w:hAnsi="Times New Roman" w:cs="Times New Roman"/>
      <w:b/>
      <w:bCs/>
      <w:sz w:val="24"/>
      <w:szCs w:val="28"/>
      <w:lang w:val="es-MX" w:eastAsia="es-MX"/>
    </w:rPr>
  </w:style>
  <w:style w:type="paragraph" w:styleId="Textonotapie">
    <w:name w:val="footnote text"/>
    <w:aliases w:val="FOOTNOTES,fn,Car5 Car"/>
    <w:basedOn w:val="Normal"/>
    <w:link w:val="TextonotapieCar"/>
    <w:uiPriority w:val="99"/>
    <w:semiHidden/>
    <w:qFormat/>
    <w:rsid w:val="00A65F5F"/>
    <w:rPr>
      <w:sz w:val="20"/>
      <w:szCs w:val="20"/>
    </w:rPr>
  </w:style>
  <w:style w:type="character" w:customStyle="1" w:styleId="TextonotapieCar">
    <w:name w:val="Texto nota pie Car"/>
    <w:aliases w:val="FOOTNOTES Car,fn Car,Car5 Car Car"/>
    <w:basedOn w:val="Fuentedeprrafopredeter"/>
    <w:link w:val="Textonotapie"/>
    <w:uiPriority w:val="99"/>
    <w:semiHidden/>
    <w:rsid w:val="00A65F5F"/>
    <w:rPr>
      <w:rFonts w:ascii="Times New Roman" w:eastAsia="Times New Roman" w:hAnsi="Times New Roman" w:cs="Times New Roman"/>
      <w:sz w:val="20"/>
      <w:szCs w:val="20"/>
      <w:lang w:val="es-MX" w:eastAsia="es-MX"/>
    </w:rPr>
  </w:style>
  <w:style w:type="paragraph" w:styleId="Encabezado">
    <w:name w:val="header"/>
    <w:basedOn w:val="Normal"/>
    <w:link w:val="EncabezadoCar"/>
    <w:uiPriority w:val="99"/>
    <w:rsid w:val="00A65F5F"/>
    <w:pPr>
      <w:tabs>
        <w:tab w:val="center" w:pos="4419"/>
        <w:tab w:val="right" w:pos="8838"/>
      </w:tabs>
    </w:pPr>
  </w:style>
  <w:style w:type="character" w:customStyle="1" w:styleId="EncabezadoCar">
    <w:name w:val="Encabezado Car"/>
    <w:basedOn w:val="Fuentedeprrafopredeter"/>
    <w:link w:val="Encabezado"/>
    <w:uiPriority w:val="99"/>
    <w:rsid w:val="00A65F5F"/>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rsid w:val="00A65F5F"/>
    <w:pPr>
      <w:tabs>
        <w:tab w:val="center" w:pos="4419"/>
        <w:tab w:val="right" w:pos="8838"/>
      </w:tabs>
    </w:pPr>
  </w:style>
  <w:style w:type="character" w:customStyle="1" w:styleId="PiedepginaCar">
    <w:name w:val="Pie de página Car"/>
    <w:basedOn w:val="Fuentedeprrafopredeter"/>
    <w:link w:val="Piedepgina"/>
    <w:uiPriority w:val="99"/>
    <w:rsid w:val="00A65F5F"/>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qFormat/>
    <w:rsid w:val="00A65F5F"/>
    <w:rPr>
      <w:rFonts w:ascii="Arial" w:hAnsi="Arial" w:cs="Arial"/>
      <w:lang w:val="es-ES" w:eastAsia="es-ES"/>
    </w:rPr>
  </w:style>
  <w:style w:type="character" w:customStyle="1" w:styleId="TextoindependienteCar">
    <w:name w:val="Texto independiente Car"/>
    <w:basedOn w:val="Fuentedeprrafopredeter"/>
    <w:link w:val="Textoindependiente"/>
    <w:uiPriority w:val="99"/>
    <w:rsid w:val="00A65F5F"/>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rsid w:val="00A65F5F"/>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F5F"/>
    <w:rPr>
      <w:rFonts w:ascii="Tahoma" w:eastAsia="Times New Roman" w:hAnsi="Tahoma" w:cs="Tahoma"/>
      <w:sz w:val="16"/>
      <w:szCs w:val="16"/>
      <w:lang w:val="es-MX" w:eastAsia="es-MX"/>
    </w:rPr>
  </w:style>
  <w:style w:type="character" w:styleId="Refdenotaalpie">
    <w:name w:val="footnote reference"/>
    <w:basedOn w:val="Fuentedeprrafopredeter"/>
    <w:uiPriority w:val="99"/>
    <w:semiHidden/>
    <w:qFormat/>
    <w:rsid w:val="00A65F5F"/>
    <w:rPr>
      <w:rFonts w:cs="Times New Roman"/>
      <w:vertAlign w:val="superscript"/>
    </w:rPr>
  </w:style>
  <w:style w:type="table" w:styleId="Tablaconcuadrcula">
    <w:name w:val="Table Grid"/>
    <w:basedOn w:val="Tablanormal"/>
    <w:uiPriority w:val="39"/>
    <w:rsid w:val="00A65F5F"/>
    <w:pPr>
      <w:spacing w:after="0" w:line="240" w:lineRule="auto"/>
      <w:ind w:right="-23"/>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65F5F"/>
    <w:rPr>
      <w:rFonts w:cs="Times New Roman"/>
    </w:rPr>
  </w:style>
  <w:style w:type="character" w:styleId="Hipervnculo">
    <w:name w:val="Hyperlink"/>
    <w:basedOn w:val="Fuentedeprrafopredeter"/>
    <w:uiPriority w:val="99"/>
    <w:rsid w:val="00A65F5F"/>
    <w:rPr>
      <w:rFonts w:cs="Times New Roman"/>
      <w:color w:val="0000FF"/>
      <w:u w:val="single"/>
    </w:rPr>
  </w:style>
  <w:style w:type="paragraph" w:styleId="TDC2">
    <w:name w:val="toc 2"/>
    <w:basedOn w:val="Normal"/>
    <w:next w:val="Normal"/>
    <w:autoRedefine/>
    <w:uiPriority w:val="39"/>
    <w:rsid w:val="00A65F5F"/>
    <w:pPr>
      <w:tabs>
        <w:tab w:val="right" w:leader="dot" w:pos="9713"/>
      </w:tabs>
      <w:spacing w:before="60"/>
      <w:ind w:left="238"/>
    </w:pPr>
    <w:rPr>
      <w:noProof/>
    </w:rPr>
  </w:style>
  <w:style w:type="paragraph" w:styleId="TDC1">
    <w:name w:val="toc 1"/>
    <w:basedOn w:val="Normal"/>
    <w:next w:val="Normal"/>
    <w:autoRedefine/>
    <w:uiPriority w:val="39"/>
    <w:rsid w:val="00A65F5F"/>
    <w:pPr>
      <w:tabs>
        <w:tab w:val="left" w:pos="426"/>
        <w:tab w:val="right" w:leader="dot" w:pos="9713"/>
      </w:tabs>
      <w:spacing w:before="240"/>
      <w:ind w:left="426" w:hanging="426"/>
    </w:pPr>
    <w:rPr>
      <w:b/>
      <w:noProof/>
    </w:rPr>
  </w:style>
  <w:style w:type="paragraph" w:styleId="TDC3">
    <w:name w:val="toc 3"/>
    <w:basedOn w:val="Normal"/>
    <w:next w:val="Normal"/>
    <w:autoRedefine/>
    <w:uiPriority w:val="39"/>
    <w:rsid w:val="00A65F5F"/>
    <w:pPr>
      <w:tabs>
        <w:tab w:val="right" w:leader="dot" w:pos="9713"/>
      </w:tabs>
      <w:spacing w:before="60"/>
      <w:ind w:left="482"/>
    </w:pPr>
  </w:style>
  <w:style w:type="paragraph" w:styleId="Revisin">
    <w:name w:val="Revision"/>
    <w:hidden/>
    <w:uiPriority w:val="99"/>
    <w:semiHidden/>
    <w:rsid w:val="00A65F5F"/>
    <w:pPr>
      <w:spacing w:after="0" w:line="240" w:lineRule="auto"/>
      <w:ind w:right="-23"/>
      <w:jc w:val="both"/>
    </w:pPr>
    <w:rPr>
      <w:rFonts w:ascii="Times New Roman" w:eastAsia="Times New Roman" w:hAnsi="Times New Roman" w:cs="Times New Roman"/>
      <w:sz w:val="24"/>
      <w:szCs w:val="24"/>
      <w:lang w:val="es-MX" w:eastAsia="es-MX"/>
    </w:rPr>
  </w:style>
  <w:style w:type="paragraph" w:styleId="Prrafodelista">
    <w:name w:val="List Paragraph"/>
    <w:aliases w:val="List,Indice de Figuras,List1,TEXTO,Numeral 3,List11,Lista de viñetas,EY EPM - Lista,Lista1,Lista2,Cuadros,Bullet 1,Use Case List Paragraph,3,Lista multicolor - Énfasis 11,List111,Lista21,Lista3,Lista31,Lista11,Fuente,Lista211,Titulo 2"/>
    <w:basedOn w:val="Normal"/>
    <w:link w:val="PrrafodelistaCar"/>
    <w:uiPriority w:val="1"/>
    <w:qFormat/>
    <w:rsid w:val="00A65F5F"/>
    <w:pPr>
      <w:ind w:left="720"/>
    </w:pPr>
  </w:style>
  <w:style w:type="character" w:styleId="Refdecomentario">
    <w:name w:val="annotation reference"/>
    <w:basedOn w:val="Fuentedeprrafopredeter"/>
    <w:uiPriority w:val="99"/>
    <w:semiHidden/>
    <w:rsid w:val="00A65F5F"/>
    <w:rPr>
      <w:rFonts w:cs="Times New Roman"/>
      <w:sz w:val="16"/>
      <w:szCs w:val="16"/>
    </w:rPr>
  </w:style>
  <w:style w:type="paragraph" w:styleId="Textocomentario">
    <w:name w:val="annotation text"/>
    <w:basedOn w:val="Normal"/>
    <w:link w:val="TextocomentarioCar"/>
    <w:uiPriority w:val="99"/>
    <w:semiHidden/>
    <w:rsid w:val="00A65F5F"/>
    <w:rPr>
      <w:sz w:val="20"/>
      <w:szCs w:val="20"/>
    </w:rPr>
  </w:style>
  <w:style w:type="character" w:customStyle="1" w:styleId="TextocomentarioCar">
    <w:name w:val="Texto comentario Car"/>
    <w:basedOn w:val="Fuentedeprrafopredeter"/>
    <w:link w:val="Textocomentario"/>
    <w:uiPriority w:val="99"/>
    <w:semiHidden/>
    <w:rsid w:val="00A65F5F"/>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A65F5F"/>
    <w:rPr>
      <w:b/>
      <w:bCs/>
    </w:rPr>
  </w:style>
  <w:style w:type="character" w:customStyle="1" w:styleId="AsuntodelcomentarioCar">
    <w:name w:val="Asunto del comentario Car"/>
    <w:basedOn w:val="TextocomentarioCar"/>
    <w:link w:val="Asuntodelcomentario"/>
    <w:uiPriority w:val="99"/>
    <w:semiHidden/>
    <w:rsid w:val="00A65F5F"/>
    <w:rPr>
      <w:rFonts w:ascii="Times New Roman" w:eastAsia="Times New Roman" w:hAnsi="Times New Roman" w:cs="Times New Roman"/>
      <w:b/>
      <w:bCs/>
      <w:sz w:val="20"/>
      <w:szCs w:val="20"/>
      <w:lang w:val="es-MX" w:eastAsia="es-MX"/>
    </w:rPr>
  </w:style>
  <w:style w:type="character" w:styleId="nfasis">
    <w:name w:val="Emphasis"/>
    <w:basedOn w:val="Fuentedeprrafopredeter"/>
    <w:uiPriority w:val="20"/>
    <w:qFormat/>
    <w:rsid w:val="00A65F5F"/>
    <w:rPr>
      <w:rFonts w:cs="Times New Roman"/>
      <w:i/>
      <w:iCs/>
    </w:rPr>
  </w:style>
  <w:style w:type="paragraph" w:customStyle="1" w:styleId="msolistparagraph0">
    <w:name w:val="msolistparagraph"/>
    <w:basedOn w:val="Normal"/>
    <w:rsid w:val="00A65F5F"/>
    <w:pPr>
      <w:ind w:left="720"/>
    </w:pPr>
    <w:rPr>
      <w:lang w:val="en-US" w:eastAsia="en-US"/>
    </w:rPr>
  </w:style>
  <w:style w:type="paragraph" w:customStyle="1" w:styleId="listparagraph">
    <w:name w:val="listparagraph"/>
    <w:basedOn w:val="Normal"/>
    <w:rsid w:val="00A65F5F"/>
    <w:pPr>
      <w:ind w:left="720"/>
    </w:pPr>
    <w:rPr>
      <w:lang w:val="en-US" w:eastAsia="en-US"/>
    </w:rPr>
  </w:style>
  <w:style w:type="character" w:customStyle="1" w:styleId="tit011">
    <w:name w:val="tit011"/>
    <w:basedOn w:val="Fuentedeprrafopredeter"/>
    <w:rsid w:val="00A65F5F"/>
    <w:rPr>
      <w:rFonts w:ascii="Verdana" w:hAnsi="Verdana" w:cs="Times New Roman"/>
      <w:color w:val="0B3D91"/>
      <w:sz w:val="21"/>
      <w:szCs w:val="21"/>
    </w:rPr>
  </w:style>
  <w:style w:type="character" w:customStyle="1" w:styleId="text1">
    <w:name w:val="text1"/>
    <w:basedOn w:val="Fuentedeprrafopredeter"/>
    <w:rsid w:val="00A65F5F"/>
    <w:rPr>
      <w:rFonts w:ascii="Verdana" w:hAnsi="Verdana" w:cs="Times New Roman"/>
      <w:color w:val="404040"/>
      <w:sz w:val="17"/>
      <w:szCs w:val="17"/>
    </w:rPr>
  </w:style>
  <w:style w:type="paragraph" w:customStyle="1" w:styleId="text">
    <w:name w:val="text"/>
    <w:basedOn w:val="Normal"/>
    <w:rsid w:val="00A65F5F"/>
    <w:pPr>
      <w:spacing w:before="100" w:beforeAutospacing="1" w:after="100" w:afterAutospacing="1"/>
    </w:pPr>
    <w:rPr>
      <w:rFonts w:ascii="Verdana" w:hAnsi="Verdana"/>
      <w:color w:val="404040"/>
      <w:sz w:val="17"/>
      <w:szCs w:val="17"/>
      <w:lang w:val="es-ES" w:eastAsia="es-ES"/>
    </w:rPr>
  </w:style>
  <w:style w:type="paragraph" w:styleId="NormalWeb">
    <w:name w:val="Normal (Web)"/>
    <w:basedOn w:val="Normal"/>
    <w:uiPriority w:val="99"/>
    <w:unhideWhenUsed/>
    <w:rsid w:val="00A65F5F"/>
    <w:pPr>
      <w:spacing w:before="100" w:beforeAutospacing="1" w:after="100" w:afterAutospacing="1"/>
    </w:pPr>
    <w:rPr>
      <w:lang w:val="es-ES" w:eastAsia="es-ES"/>
    </w:rPr>
  </w:style>
  <w:style w:type="paragraph" w:styleId="TDC4">
    <w:name w:val="toc 4"/>
    <w:basedOn w:val="Normal"/>
    <w:next w:val="Normal"/>
    <w:autoRedefine/>
    <w:uiPriority w:val="39"/>
    <w:unhideWhenUsed/>
    <w:rsid w:val="00A65F5F"/>
    <w:pPr>
      <w:tabs>
        <w:tab w:val="right" w:leader="dot" w:pos="9629"/>
      </w:tabs>
      <w:spacing w:after="100" w:line="276" w:lineRule="auto"/>
      <w:ind w:left="660"/>
      <w:jc w:val="left"/>
    </w:pPr>
    <w:rPr>
      <w:rFonts w:ascii="Calibri" w:hAnsi="Calibri"/>
      <w:sz w:val="22"/>
      <w:szCs w:val="22"/>
      <w:lang w:val="es-ES" w:eastAsia="es-ES"/>
    </w:rPr>
  </w:style>
  <w:style w:type="paragraph" w:styleId="TDC5">
    <w:name w:val="toc 5"/>
    <w:basedOn w:val="Normal"/>
    <w:next w:val="Normal"/>
    <w:autoRedefine/>
    <w:uiPriority w:val="39"/>
    <w:unhideWhenUsed/>
    <w:rsid w:val="00A65F5F"/>
    <w:pPr>
      <w:spacing w:after="100" w:line="276" w:lineRule="auto"/>
      <w:ind w:left="880"/>
    </w:pPr>
    <w:rPr>
      <w:rFonts w:ascii="Calibri" w:hAnsi="Calibri"/>
      <w:sz w:val="22"/>
      <w:szCs w:val="22"/>
      <w:lang w:val="es-ES" w:eastAsia="es-ES"/>
    </w:rPr>
  </w:style>
  <w:style w:type="paragraph" w:styleId="TDC6">
    <w:name w:val="toc 6"/>
    <w:basedOn w:val="Normal"/>
    <w:next w:val="Normal"/>
    <w:autoRedefine/>
    <w:uiPriority w:val="39"/>
    <w:unhideWhenUsed/>
    <w:rsid w:val="00A65F5F"/>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A65F5F"/>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A65F5F"/>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A65F5F"/>
    <w:pPr>
      <w:spacing w:after="100" w:line="276" w:lineRule="auto"/>
      <w:ind w:left="1760"/>
    </w:pPr>
    <w:rPr>
      <w:rFonts w:ascii="Calibri" w:hAnsi="Calibri"/>
      <w:sz w:val="22"/>
      <w:szCs w:val="22"/>
      <w:lang w:val="es-ES" w:eastAsia="es-ES"/>
    </w:rPr>
  </w:style>
  <w:style w:type="paragraph" w:customStyle="1" w:styleId="Textodereglamento">
    <w:name w:val="Texto de reglamento"/>
    <w:basedOn w:val="Normal"/>
    <w:link w:val="TextodereglamentoChar"/>
    <w:qFormat/>
    <w:rsid w:val="00A65F5F"/>
    <w:pPr>
      <w:spacing w:before="120"/>
    </w:pPr>
    <w:rPr>
      <w:szCs w:val="20"/>
      <w:lang w:val="es-ES" w:eastAsia="es-ES"/>
    </w:rPr>
  </w:style>
  <w:style w:type="character" w:customStyle="1" w:styleId="TextodereglamentoChar">
    <w:name w:val="Texto de reglamento Char"/>
    <w:link w:val="Textodereglamento"/>
    <w:locked/>
    <w:rsid w:val="00A65F5F"/>
    <w:rPr>
      <w:rFonts w:ascii="Times New Roman" w:eastAsia="Times New Roman" w:hAnsi="Times New Roman" w:cs="Times New Roman"/>
      <w:sz w:val="24"/>
      <w:szCs w:val="20"/>
      <w:lang w:val="es-ES" w:eastAsia="es-ES"/>
    </w:rPr>
  </w:style>
  <w:style w:type="paragraph" w:customStyle="1" w:styleId="incisos">
    <w:name w:val="incisos"/>
    <w:basedOn w:val="Textodereglamento"/>
    <w:qFormat/>
    <w:rsid w:val="00A65F5F"/>
    <w:pPr>
      <w:numPr>
        <w:numId w:val="16"/>
      </w:numPr>
      <w:spacing w:before="60"/>
    </w:pPr>
  </w:style>
  <w:style w:type="paragraph" w:styleId="TtuloTDC">
    <w:name w:val="TOC Heading"/>
    <w:basedOn w:val="Ttulo1"/>
    <w:next w:val="Normal"/>
    <w:uiPriority w:val="39"/>
    <w:unhideWhenUsed/>
    <w:qFormat/>
    <w:rsid w:val="00A65F5F"/>
    <w:pPr>
      <w:keepLines/>
      <w:spacing w:before="480" w:after="0" w:line="276" w:lineRule="auto"/>
      <w:ind w:left="0" w:right="0"/>
      <w:outlineLvl w:val="9"/>
    </w:pPr>
    <w:rPr>
      <w:rFonts w:asciiTheme="majorHAnsi" w:eastAsiaTheme="majorEastAsia" w:hAnsiTheme="majorHAnsi" w:cs="Times New Roman"/>
      <w:color w:val="2E74B5" w:themeColor="accent1" w:themeShade="BF"/>
      <w:kern w:val="0"/>
      <w:lang w:val="es-ES" w:eastAsia="en-US"/>
    </w:rPr>
  </w:style>
  <w:style w:type="paragraph" w:styleId="Ttulo">
    <w:name w:val="Title"/>
    <w:basedOn w:val="Normal"/>
    <w:next w:val="Normal"/>
    <w:link w:val="TtuloCar"/>
    <w:uiPriority w:val="10"/>
    <w:qFormat/>
    <w:rsid w:val="00A65F5F"/>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52"/>
    </w:rPr>
  </w:style>
  <w:style w:type="character" w:customStyle="1" w:styleId="TtuloCar">
    <w:name w:val="Título Car"/>
    <w:basedOn w:val="Fuentedeprrafopredeter"/>
    <w:link w:val="Ttulo"/>
    <w:uiPriority w:val="10"/>
    <w:rsid w:val="00A65F5F"/>
    <w:rPr>
      <w:rFonts w:asciiTheme="majorHAnsi" w:eastAsiaTheme="majorEastAsia" w:hAnsiTheme="majorHAnsi" w:cs="Times New Roman"/>
      <w:color w:val="323E4F" w:themeColor="text2" w:themeShade="BF"/>
      <w:spacing w:val="5"/>
      <w:kern w:val="28"/>
      <w:sz w:val="52"/>
      <w:szCs w:val="52"/>
      <w:lang w:val="es-MX" w:eastAsia="es-MX"/>
    </w:rPr>
  </w:style>
  <w:style w:type="character" w:customStyle="1" w:styleId="PrrafodelistaCar">
    <w:name w:val="Párrafo de lista Car"/>
    <w:aliases w:val="List Car,Indice de Figuras Car,List1 Car,TEXTO Car,Numeral 3 Car,List11 Car,Lista de viñetas Car,EY EPM - Lista Car,Lista1 Car,Lista2 Car,Cuadros Car,Bullet 1 Car,Use Case List Paragraph Car,3 Car,Lista multicolor - Énfasis 11 Car"/>
    <w:basedOn w:val="Fuentedeprrafopredeter"/>
    <w:link w:val="Prrafodelista"/>
    <w:uiPriority w:val="34"/>
    <w:locked/>
    <w:rsid w:val="00A65F5F"/>
    <w:rPr>
      <w:rFonts w:ascii="Times New Roman" w:eastAsia="Times New Roman" w:hAnsi="Times New Roman" w:cs="Times New Roman"/>
      <w:sz w:val="24"/>
      <w:szCs w:val="24"/>
      <w:lang w:val="es-MX" w:eastAsia="es-MX"/>
    </w:rPr>
  </w:style>
  <w:style w:type="table" w:customStyle="1" w:styleId="Tabladecuadrcula1clara-nfasis31">
    <w:name w:val="Tabla de cuadrícula 1 clara - Énfasis 31"/>
    <w:basedOn w:val="Tablanormal"/>
    <w:uiPriority w:val="46"/>
    <w:rsid w:val="00A65F5F"/>
    <w:pPr>
      <w:spacing w:after="0" w:line="240" w:lineRule="auto"/>
    </w:pPr>
    <w:rPr>
      <w:rFonts w:eastAsia="Times New Roman"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paragraph" w:customStyle="1" w:styleId="CNV">
    <w:name w:val="CNV"/>
    <w:basedOn w:val="Normal"/>
    <w:rsid w:val="00A65F5F"/>
    <w:pPr>
      <w:ind w:right="0"/>
    </w:pPr>
    <w:rPr>
      <w:rFonts w:ascii="BR-01T" w:hAnsi="BR-01T"/>
      <w:szCs w:val="20"/>
      <w:lang w:val="es-ES_tradnl" w:eastAsia="en-US"/>
    </w:rPr>
  </w:style>
  <w:style w:type="paragraph" w:customStyle="1" w:styleId="Default">
    <w:name w:val="Default"/>
    <w:rsid w:val="002B71FD"/>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464D99"/>
    <w:rPr>
      <w:sz w:val="20"/>
      <w:szCs w:val="20"/>
    </w:rPr>
  </w:style>
  <w:style w:type="character" w:customStyle="1" w:styleId="TextonotaalfinalCar">
    <w:name w:val="Texto nota al final Car"/>
    <w:basedOn w:val="Fuentedeprrafopredeter"/>
    <w:link w:val="Textonotaalfinal"/>
    <w:uiPriority w:val="99"/>
    <w:semiHidden/>
    <w:rsid w:val="00464D99"/>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464D99"/>
    <w:rPr>
      <w:vertAlign w:val="superscript"/>
    </w:rPr>
  </w:style>
  <w:style w:type="paragraph" w:styleId="Descripcin">
    <w:name w:val="caption"/>
    <w:basedOn w:val="Normal"/>
    <w:next w:val="Normal"/>
    <w:uiPriority w:val="35"/>
    <w:semiHidden/>
    <w:unhideWhenUsed/>
    <w:qFormat/>
    <w:rsid w:val="002817B6"/>
    <w:pPr>
      <w:spacing w:after="200"/>
      <w:ind w:right="0"/>
      <w:jc w:val="left"/>
    </w:pPr>
    <w:rPr>
      <w:rFonts w:asciiTheme="minorHAnsi" w:eastAsiaTheme="minorHAnsi" w:hAnsiTheme="minorHAnsi" w:cstheme="minorBidi"/>
      <w:i/>
      <w:iCs/>
      <w:color w:val="44546A" w:themeColor="text2"/>
      <w:sz w:val="18"/>
      <w:szCs w:val="18"/>
      <w:lang w:val="es-GT" w:eastAsia="en-US"/>
    </w:rPr>
  </w:style>
  <w:style w:type="paragraph" w:customStyle="1" w:styleId="Body">
    <w:name w:val="Body"/>
    <w:qFormat/>
    <w:rsid w:val="002817B6"/>
    <w:pPr>
      <w:tabs>
        <w:tab w:val="num" w:pos="567"/>
      </w:tabs>
      <w:suppressAutoHyphens/>
      <w:spacing w:after="120" w:line="240" w:lineRule="auto"/>
      <w:jc w:val="both"/>
    </w:pPr>
    <w:rPr>
      <w:rFonts w:ascii="Arial" w:eastAsia="ヒラギノ角ゴ Pro W3" w:hAnsi="Arial" w:cs="Arial"/>
      <w:szCs w:val="24"/>
      <w:lang w:val="es-ES_tradnl"/>
    </w:rPr>
  </w:style>
  <w:style w:type="paragraph" w:customStyle="1" w:styleId="BasicParagraph">
    <w:name w:val="[Basic Paragraph]"/>
    <w:basedOn w:val="Normal"/>
    <w:uiPriority w:val="99"/>
    <w:rsid w:val="002817B6"/>
    <w:pPr>
      <w:autoSpaceDE w:val="0"/>
      <w:autoSpaceDN w:val="0"/>
      <w:adjustRightInd w:val="0"/>
      <w:spacing w:line="288" w:lineRule="auto"/>
      <w:ind w:right="0"/>
      <w:jc w:val="left"/>
    </w:pPr>
    <w:rPr>
      <w:rFonts w:ascii="Minion Pro" w:eastAsiaTheme="minorHAnsi" w:hAnsi="Minion Pro" w:cs="Minion Pro"/>
      <w:color w:val="000000"/>
      <w:lang w:val="en-GB" w:eastAsia="en-US"/>
    </w:rPr>
  </w:style>
  <w:style w:type="paragraph" w:customStyle="1" w:styleId="BodyBullet">
    <w:name w:val="Body Bullet"/>
    <w:basedOn w:val="Body"/>
    <w:qFormat/>
    <w:rsid w:val="002817B6"/>
    <w:pPr>
      <w:numPr>
        <w:numId w:val="68"/>
      </w:numPr>
    </w:pPr>
  </w:style>
  <w:style w:type="character" w:customStyle="1" w:styleId="InformePCSCar">
    <w:name w:val="Informe PCS Car"/>
    <w:basedOn w:val="Fuentedeprrafopredeter"/>
    <w:link w:val="InformePCS"/>
    <w:locked/>
    <w:rsid w:val="002817B6"/>
    <w:rPr>
      <w:rFonts w:cs="Calibri"/>
      <w:lang w:val="es-GT"/>
    </w:rPr>
  </w:style>
  <w:style w:type="paragraph" w:customStyle="1" w:styleId="InformePCS">
    <w:name w:val="Informe PCS"/>
    <w:basedOn w:val="Normal"/>
    <w:link w:val="InformePCSCar"/>
    <w:rsid w:val="002817B6"/>
    <w:pPr>
      <w:spacing w:after="160" w:line="256" w:lineRule="auto"/>
      <w:ind w:right="0"/>
      <w:jc w:val="left"/>
    </w:pPr>
    <w:rPr>
      <w:rFonts w:asciiTheme="minorHAnsi" w:eastAsiaTheme="minorHAnsi" w:hAnsiTheme="minorHAnsi" w:cs="Calibri"/>
      <w:sz w:val="22"/>
      <w:szCs w:val="22"/>
      <w:lang w:val="es-GT" w:eastAsia="en-US"/>
    </w:rPr>
  </w:style>
  <w:style w:type="table" w:styleId="Tablaconcuadrcula2-nfasis6">
    <w:name w:val="Grid Table 2 Accent 6"/>
    <w:basedOn w:val="Tablanormal"/>
    <w:uiPriority w:val="47"/>
    <w:rsid w:val="002817B6"/>
    <w:pPr>
      <w:spacing w:after="0" w:line="240" w:lineRule="auto"/>
    </w:pPr>
    <w:rPr>
      <w:rFonts w:ascii="Times New Roman" w:eastAsia="Times New Roman" w:hAnsi="Times New Roman" w:cs="Times New Roman"/>
      <w:sz w:val="20"/>
      <w:szCs w:val="20"/>
      <w:lang w:val="es-ES"/>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Normal">
    <w:name w:val="Table Normal"/>
    <w:uiPriority w:val="2"/>
    <w:semiHidden/>
    <w:unhideWhenUsed/>
    <w:qFormat/>
    <w:rsid w:val="00CC7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74F4"/>
    <w:pPr>
      <w:widowControl w:val="0"/>
      <w:autoSpaceDE w:val="0"/>
      <w:autoSpaceDN w:val="0"/>
      <w:ind w:right="0"/>
      <w:jc w:val="left"/>
    </w:pPr>
    <w:rPr>
      <w:sz w:val="22"/>
      <w:szCs w:val="22"/>
      <w:lang w:val="es-ES" w:eastAsia="en-US"/>
    </w:rPr>
  </w:style>
  <w:style w:type="character" w:styleId="Mencinsinresolver">
    <w:name w:val="Unresolved Mention"/>
    <w:basedOn w:val="Fuentedeprrafopredeter"/>
    <w:uiPriority w:val="99"/>
    <w:semiHidden/>
    <w:unhideWhenUsed/>
    <w:rsid w:val="0063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862">
      <w:bodyDiv w:val="1"/>
      <w:marLeft w:val="0"/>
      <w:marRight w:val="0"/>
      <w:marTop w:val="0"/>
      <w:marBottom w:val="0"/>
      <w:divBdr>
        <w:top w:val="none" w:sz="0" w:space="0" w:color="auto"/>
        <w:left w:val="none" w:sz="0" w:space="0" w:color="auto"/>
        <w:bottom w:val="none" w:sz="0" w:space="0" w:color="auto"/>
        <w:right w:val="none" w:sz="0" w:space="0" w:color="auto"/>
      </w:divBdr>
    </w:div>
    <w:div w:id="23947400">
      <w:bodyDiv w:val="1"/>
      <w:marLeft w:val="0"/>
      <w:marRight w:val="0"/>
      <w:marTop w:val="0"/>
      <w:marBottom w:val="0"/>
      <w:divBdr>
        <w:top w:val="none" w:sz="0" w:space="0" w:color="auto"/>
        <w:left w:val="none" w:sz="0" w:space="0" w:color="auto"/>
        <w:bottom w:val="none" w:sz="0" w:space="0" w:color="auto"/>
        <w:right w:val="none" w:sz="0" w:space="0" w:color="auto"/>
      </w:divBdr>
    </w:div>
    <w:div w:id="31149154">
      <w:bodyDiv w:val="1"/>
      <w:marLeft w:val="0"/>
      <w:marRight w:val="0"/>
      <w:marTop w:val="0"/>
      <w:marBottom w:val="0"/>
      <w:divBdr>
        <w:top w:val="none" w:sz="0" w:space="0" w:color="auto"/>
        <w:left w:val="none" w:sz="0" w:space="0" w:color="auto"/>
        <w:bottom w:val="none" w:sz="0" w:space="0" w:color="auto"/>
        <w:right w:val="none" w:sz="0" w:space="0" w:color="auto"/>
      </w:divBdr>
    </w:div>
    <w:div w:id="34475922">
      <w:bodyDiv w:val="1"/>
      <w:marLeft w:val="0"/>
      <w:marRight w:val="0"/>
      <w:marTop w:val="0"/>
      <w:marBottom w:val="0"/>
      <w:divBdr>
        <w:top w:val="none" w:sz="0" w:space="0" w:color="auto"/>
        <w:left w:val="none" w:sz="0" w:space="0" w:color="auto"/>
        <w:bottom w:val="none" w:sz="0" w:space="0" w:color="auto"/>
        <w:right w:val="none" w:sz="0" w:space="0" w:color="auto"/>
      </w:divBdr>
    </w:div>
    <w:div w:id="45035294">
      <w:bodyDiv w:val="1"/>
      <w:marLeft w:val="0"/>
      <w:marRight w:val="0"/>
      <w:marTop w:val="0"/>
      <w:marBottom w:val="0"/>
      <w:divBdr>
        <w:top w:val="none" w:sz="0" w:space="0" w:color="auto"/>
        <w:left w:val="none" w:sz="0" w:space="0" w:color="auto"/>
        <w:bottom w:val="none" w:sz="0" w:space="0" w:color="auto"/>
        <w:right w:val="none" w:sz="0" w:space="0" w:color="auto"/>
      </w:divBdr>
    </w:div>
    <w:div w:id="50816114">
      <w:bodyDiv w:val="1"/>
      <w:marLeft w:val="0"/>
      <w:marRight w:val="0"/>
      <w:marTop w:val="0"/>
      <w:marBottom w:val="0"/>
      <w:divBdr>
        <w:top w:val="none" w:sz="0" w:space="0" w:color="auto"/>
        <w:left w:val="none" w:sz="0" w:space="0" w:color="auto"/>
        <w:bottom w:val="none" w:sz="0" w:space="0" w:color="auto"/>
        <w:right w:val="none" w:sz="0" w:space="0" w:color="auto"/>
      </w:divBdr>
    </w:div>
    <w:div w:id="83957155">
      <w:bodyDiv w:val="1"/>
      <w:marLeft w:val="0"/>
      <w:marRight w:val="0"/>
      <w:marTop w:val="0"/>
      <w:marBottom w:val="0"/>
      <w:divBdr>
        <w:top w:val="none" w:sz="0" w:space="0" w:color="auto"/>
        <w:left w:val="none" w:sz="0" w:space="0" w:color="auto"/>
        <w:bottom w:val="none" w:sz="0" w:space="0" w:color="auto"/>
        <w:right w:val="none" w:sz="0" w:space="0" w:color="auto"/>
      </w:divBdr>
    </w:div>
    <w:div w:id="110634961">
      <w:bodyDiv w:val="1"/>
      <w:marLeft w:val="0"/>
      <w:marRight w:val="0"/>
      <w:marTop w:val="0"/>
      <w:marBottom w:val="0"/>
      <w:divBdr>
        <w:top w:val="none" w:sz="0" w:space="0" w:color="auto"/>
        <w:left w:val="none" w:sz="0" w:space="0" w:color="auto"/>
        <w:bottom w:val="none" w:sz="0" w:space="0" w:color="auto"/>
        <w:right w:val="none" w:sz="0" w:space="0" w:color="auto"/>
      </w:divBdr>
    </w:div>
    <w:div w:id="117259433">
      <w:bodyDiv w:val="1"/>
      <w:marLeft w:val="0"/>
      <w:marRight w:val="0"/>
      <w:marTop w:val="0"/>
      <w:marBottom w:val="0"/>
      <w:divBdr>
        <w:top w:val="none" w:sz="0" w:space="0" w:color="auto"/>
        <w:left w:val="none" w:sz="0" w:space="0" w:color="auto"/>
        <w:bottom w:val="none" w:sz="0" w:space="0" w:color="auto"/>
        <w:right w:val="none" w:sz="0" w:space="0" w:color="auto"/>
      </w:divBdr>
    </w:div>
    <w:div w:id="147138270">
      <w:bodyDiv w:val="1"/>
      <w:marLeft w:val="0"/>
      <w:marRight w:val="0"/>
      <w:marTop w:val="0"/>
      <w:marBottom w:val="0"/>
      <w:divBdr>
        <w:top w:val="none" w:sz="0" w:space="0" w:color="auto"/>
        <w:left w:val="none" w:sz="0" w:space="0" w:color="auto"/>
        <w:bottom w:val="none" w:sz="0" w:space="0" w:color="auto"/>
        <w:right w:val="none" w:sz="0" w:space="0" w:color="auto"/>
      </w:divBdr>
    </w:div>
    <w:div w:id="147983694">
      <w:bodyDiv w:val="1"/>
      <w:marLeft w:val="0"/>
      <w:marRight w:val="0"/>
      <w:marTop w:val="0"/>
      <w:marBottom w:val="0"/>
      <w:divBdr>
        <w:top w:val="none" w:sz="0" w:space="0" w:color="auto"/>
        <w:left w:val="none" w:sz="0" w:space="0" w:color="auto"/>
        <w:bottom w:val="none" w:sz="0" w:space="0" w:color="auto"/>
        <w:right w:val="none" w:sz="0" w:space="0" w:color="auto"/>
      </w:divBdr>
    </w:div>
    <w:div w:id="149912602">
      <w:bodyDiv w:val="1"/>
      <w:marLeft w:val="0"/>
      <w:marRight w:val="0"/>
      <w:marTop w:val="0"/>
      <w:marBottom w:val="0"/>
      <w:divBdr>
        <w:top w:val="none" w:sz="0" w:space="0" w:color="auto"/>
        <w:left w:val="none" w:sz="0" w:space="0" w:color="auto"/>
        <w:bottom w:val="none" w:sz="0" w:space="0" w:color="auto"/>
        <w:right w:val="none" w:sz="0" w:space="0" w:color="auto"/>
      </w:divBdr>
    </w:div>
    <w:div w:id="153372882">
      <w:bodyDiv w:val="1"/>
      <w:marLeft w:val="0"/>
      <w:marRight w:val="0"/>
      <w:marTop w:val="0"/>
      <w:marBottom w:val="0"/>
      <w:divBdr>
        <w:top w:val="none" w:sz="0" w:space="0" w:color="auto"/>
        <w:left w:val="none" w:sz="0" w:space="0" w:color="auto"/>
        <w:bottom w:val="none" w:sz="0" w:space="0" w:color="auto"/>
        <w:right w:val="none" w:sz="0" w:space="0" w:color="auto"/>
      </w:divBdr>
    </w:div>
    <w:div w:id="154686412">
      <w:bodyDiv w:val="1"/>
      <w:marLeft w:val="0"/>
      <w:marRight w:val="0"/>
      <w:marTop w:val="0"/>
      <w:marBottom w:val="0"/>
      <w:divBdr>
        <w:top w:val="none" w:sz="0" w:space="0" w:color="auto"/>
        <w:left w:val="none" w:sz="0" w:space="0" w:color="auto"/>
        <w:bottom w:val="none" w:sz="0" w:space="0" w:color="auto"/>
        <w:right w:val="none" w:sz="0" w:space="0" w:color="auto"/>
      </w:divBdr>
    </w:div>
    <w:div w:id="185213840">
      <w:bodyDiv w:val="1"/>
      <w:marLeft w:val="0"/>
      <w:marRight w:val="0"/>
      <w:marTop w:val="0"/>
      <w:marBottom w:val="0"/>
      <w:divBdr>
        <w:top w:val="none" w:sz="0" w:space="0" w:color="auto"/>
        <w:left w:val="none" w:sz="0" w:space="0" w:color="auto"/>
        <w:bottom w:val="none" w:sz="0" w:space="0" w:color="auto"/>
        <w:right w:val="none" w:sz="0" w:space="0" w:color="auto"/>
      </w:divBdr>
    </w:div>
    <w:div w:id="190648493">
      <w:bodyDiv w:val="1"/>
      <w:marLeft w:val="0"/>
      <w:marRight w:val="0"/>
      <w:marTop w:val="0"/>
      <w:marBottom w:val="0"/>
      <w:divBdr>
        <w:top w:val="none" w:sz="0" w:space="0" w:color="auto"/>
        <w:left w:val="none" w:sz="0" w:space="0" w:color="auto"/>
        <w:bottom w:val="none" w:sz="0" w:space="0" w:color="auto"/>
        <w:right w:val="none" w:sz="0" w:space="0" w:color="auto"/>
      </w:divBdr>
    </w:div>
    <w:div w:id="205988558">
      <w:bodyDiv w:val="1"/>
      <w:marLeft w:val="0"/>
      <w:marRight w:val="0"/>
      <w:marTop w:val="0"/>
      <w:marBottom w:val="0"/>
      <w:divBdr>
        <w:top w:val="none" w:sz="0" w:space="0" w:color="auto"/>
        <w:left w:val="none" w:sz="0" w:space="0" w:color="auto"/>
        <w:bottom w:val="none" w:sz="0" w:space="0" w:color="auto"/>
        <w:right w:val="none" w:sz="0" w:space="0" w:color="auto"/>
      </w:divBdr>
    </w:div>
    <w:div w:id="214658758">
      <w:bodyDiv w:val="1"/>
      <w:marLeft w:val="0"/>
      <w:marRight w:val="0"/>
      <w:marTop w:val="0"/>
      <w:marBottom w:val="0"/>
      <w:divBdr>
        <w:top w:val="none" w:sz="0" w:space="0" w:color="auto"/>
        <w:left w:val="none" w:sz="0" w:space="0" w:color="auto"/>
        <w:bottom w:val="none" w:sz="0" w:space="0" w:color="auto"/>
        <w:right w:val="none" w:sz="0" w:space="0" w:color="auto"/>
      </w:divBdr>
    </w:div>
    <w:div w:id="222378950">
      <w:bodyDiv w:val="1"/>
      <w:marLeft w:val="0"/>
      <w:marRight w:val="0"/>
      <w:marTop w:val="0"/>
      <w:marBottom w:val="0"/>
      <w:divBdr>
        <w:top w:val="none" w:sz="0" w:space="0" w:color="auto"/>
        <w:left w:val="none" w:sz="0" w:space="0" w:color="auto"/>
        <w:bottom w:val="none" w:sz="0" w:space="0" w:color="auto"/>
        <w:right w:val="none" w:sz="0" w:space="0" w:color="auto"/>
      </w:divBdr>
    </w:div>
    <w:div w:id="253904060">
      <w:bodyDiv w:val="1"/>
      <w:marLeft w:val="0"/>
      <w:marRight w:val="0"/>
      <w:marTop w:val="0"/>
      <w:marBottom w:val="0"/>
      <w:divBdr>
        <w:top w:val="none" w:sz="0" w:space="0" w:color="auto"/>
        <w:left w:val="none" w:sz="0" w:space="0" w:color="auto"/>
        <w:bottom w:val="none" w:sz="0" w:space="0" w:color="auto"/>
        <w:right w:val="none" w:sz="0" w:space="0" w:color="auto"/>
      </w:divBdr>
    </w:div>
    <w:div w:id="283771525">
      <w:bodyDiv w:val="1"/>
      <w:marLeft w:val="0"/>
      <w:marRight w:val="0"/>
      <w:marTop w:val="0"/>
      <w:marBottom w:val="0"/>
      <w:divBdr>
        <w:top w:val="none" w:sz="0" w:space="0" w:color="auto"/>
        <w:left w:val="none" w:sz="0" w:space="0" w:color="auto"/>
        <w:bottom w:val="none" w:sz="0" w:space="0" w:color="auto"/>
        <w:right w:val="none" w:sz="0" w:space="0" w:color="auto"/>
      </w:divBdr>
    </w:div>
    <w:div w:id="300579489">
      <w:bodyDiv w:val="1"/>
      <w:marLeft w:val="0"/>
      <w:marRight w:val="0"/>
      <w:marTop w:val="0"/>
      <w:marBottom w:val="0"/>
      <w:divBdr>
        <w:top w:val="none" w:sz="0" w:space="0" w:color="auto"/>
        <w:left w:val="none" w:sz="0" w:space="0" w:color="auto"/>
        <w:bottom w:val="none" w:sz="0" w:space="0" w:color="auto"/>
        <w:right w:val="none" w:sz="0" w:space="0" w:color="auto"/>
      </w:divBdr>
    </w:div>
    <w:div w:id="315305467">
      <w:bodyDiv w:val="1"/>
      <w:marLeft w:val="0"/>
      <w:marRight w:val="0"/>
      <w:marTop w:val="0"/>
      <w:marBottom w:val="0"/>
      <w:divBdr>
        <w:top w:val="none" w:sz="0" w:space="0" w:color="auto"/>
        <w:left w:val="none" w:sz="0" w:space="0" w:color="auto"/>
        <w:bottom w:val="none" w:sz="0" w:space="0" w:color="auto"/>
        <w:right w:val="none" w:sz="0" w:space="0" w:color="auto"/>
      </w:divBdr>
    </w:div>
    <w:div w:id="316735510">
      <w:bodyDiv w:val="1"/>
      <w:marLeft w:val="0"/>
      <w:marRight w:val="0"/>
      <w:marTop w:val="0"/>
      <w:marBottom w:val="0"/>
      <w:divBdr>
        <w:top w:val="none" w:sz="0" w:space="0" w:color="auto"/>
        <w:left w:val="none" w:sz="0" w:space="0" w:color="auto"/>
        <w:bottom w:val="none" w:sz="0" w:space="0" w:color="auto"/>
        <w:right w:val="none" w:sz="0" w:space="0" w:color="auto"/>
      </w:divBdr>
    </w:div>
    <w:div w:id="318730934">
      <w:bodyDiv w:val="1"/>
      <w:marLeft w:val="0"/>
      <w:marRight w:val="0"/>
      <w:marTop w:val="0"/>
      <w:marBottom w:val="0"/>
      <w:divBdr>
        <w:top w:val="none" w:sz="0" w:space="0" w:color="auto"/>
        <w:left w:val="none" w:sz="0" w:space="0" w:color="auto"/>
        <w:bottom w:val="none" w:sz="0" w:space="0" w:color="auto"/>
        <w:right w:val="none" w:sz="0" w:space="0" w:color="auto"/>
      </w:divBdr>
    </w:div>
    <w:div w:id="321542025">
      <w:bodyDiv w:val="1"/>
      <w:marLeft w:val="0"/>
      <w:marRight w:val="0"/>
      <w:marTop w:val="0"/>
      <w:marBottom w:val="0"/>
      <w:divBdr>
        <w:top w:val="none" w:sz="0" w:space="0" w:color="auto"/>
        <w:left w:val="none" w:sz="0" w:space="0" w:color="auto"/>
        <w:bottom w:val="none" w:sz="0" w:space="0" w:color="auto"/>
        <w:right w:val="none" w:sz="0" w:space="0" w:color="auto"/>
      </w:divBdr>
    </w:div>
    <w:div w:id="321616658">
      <w:bodyDiv w:val="1"/>
      <w:marLeft w:val="0"/>
      <w:marRight w:val="0"/>
      <w:marTop w:val="0"/>
      <w:marBottom w:val="0"/>
      <w:divBdr>
        <w:top w:val="none" w:sz="0" w:space="0" w:color="auto"/>
        <w:left w:val="none" w:sz="0" w:space="0" w:color="auto"/>
        <w:bottom w:val="none" w:sz="0" w:space="0" w:color="auto"/>
        <w:right w:val="none" w:sz="0" w:space="0" w:color="auto"/>
      </w:divBdr>
    </w:div>
    <w:div w:id="341247212">
      <w:bodyDiv w:val="1"/>
      <w:marLeft w:val="0"/>
      <w:marRight w:val="0"/>
      <w:marTop w:val="0"/>
      <w:marBottom w:val="0"/>
      <w:divBdr>
        <w:top w:val="none" w:sz="0" w:space="0" w:color="auto"/>
        <w:left w:val="none" w:sz="0" w:space="0" w:color="auto"/>
        <w:bottom w:val="none" w:sz="0" w:space="0" w:color="auto"/>
        <w:right w:val="none" w:sz="0" w:space="0" w:color="auto"/>
      </w:divBdr>
    </w:div>
    <w:div w:id="359088976">
      <w:bodyDiv w:val="1"/>
      <w:marLeft w:val="0"/>
      <w:marRight w:val="0"/>
      <w:marTop w:val="0"/>
      <w:marBottom w:val="0"/>
      <w:divBdr>
        <w:top w:val="none" w:sz="0" w:space="0" w:color="auto"/>
        <w:left w:val="none" w:sz="0" w:space="0" w:color="auto"/>
        <w:bottom w:val="none" w:sz="0" w:space="0" w:color="auto"/>
        <w:right w:val="none" w:sz="0" w:space="0" w:color="auto"/>
      </w:divBdr>
    </w:div>
    <w:div w:id="376391158">
      <w:bodyDiv w:val="1"/>
      <w:marLeft w:val="0"/>
      <w:marRight w:val="0"/>
      <w:marTop w:val="0"/>
      <w:marBottom w:val="0"/>
      <w:divBdr>
        <w:top w:val="none" w:sz="0" w:space="0" w:color="auto"/>
        <w:left w:val="none" w:sz="0" w:space="0" w:color="auto"/>
        <w:bottom w:val="none" w:sz="0" w:space="0" w:color="auto"/>
        <w:right w:val="none" w:sz="0" w:space="0" w:color="auto"/>
      </w:divBdr>
    </w:div>
    <w:div w:id="387535122">
      <w:bodyDiv w:val="1"/>
      <w:marLeft w:val="0"/>
      <w:marRight w:val="0"/>
      <w:marTop w:val="0"/>
      <w:marBottom w:val="0"/>
      <w:divBdr>
        <w:top w:val="none" w:sz="0" w:space="0" w:color="auto"/>
        <w:left w:val="none" w:sz="0" w:space="0" w:color="auto"/>
        <w:bottom w:val="none" w:sz="0" w:space="0" w:color="auto"/>
        <w:right w:val="none" w:sz="0" w:space="0" w:color="auto"/>
      </w:divBdr>
    </w:div>
    <w:div w:id="390810832">
      <w:bodyDiv w:val="1"/>
      <w:marLeft w:val="0"/>
      <w:marRight w:val="0"/>
      <w:marTop w:val="0"/>
      <w:marBottom w:val="0"/>
      <w:divBdr>
        <w:top w:val="none" w:sz="0" w:space="0" w:color="auto"/>
        <w:left w:val="none" w:sz="0" w:space="0" w:color="auto"/>
        <w:bottom w:val="none" w:sz="0" w:space="0" w:color="auto"/>
        <w:right w:val="none" w:sz="0" w:space="0" w:color="auto"/>
      </w:divBdr>
    </w:div>
    <w:div w:id="397826173">
      <w:bodyDiv w:val="1"/>
      <w:marLeft w:val="0"/>
      <w:marRight w:val="0"/>
      <w:marTop w:val="0"/>
      <w:marBottom w:val="0"/>
      <w:divBdr>
        <w:top w:val="none" w:sz="0" w:space="0" w:color="auto"/>
        <w:left w:val="none" w:sz="0" w:space="0" w:color="auto"/>
        <w:bottom w:val="none" w:sz="0" w:space="0" w:color="auto"/>
        <w:right w:val="none" w:sz="0" w:space="0" w:color="auto"/>
      </w:divBdr>
    </w:div>
    <w:div w:id="399325718">
      <w:bodyDiv w:val="1"/>
      <w:marLeft w:val="0"/>
      <w:marRight w:val="0"/>
      <w:marTop w:val="0"/>
      <w:marBottom w:val="0"/>
      <w:divBdr>
        <w:top w:val="none" w:sz="0" w:space="0" w:color="auto"/>
        <w:left w:val="none" w:sz="0" w:space="0" w:color="auto"/>
        <w:bottom w:val="none" w:sz="0" w:space="0" w:color="auto"/>
        <w:right w:val="none" w:sz="0" w:space="0" w:color="auto"/>
      </w:divBdr>
    </w:div>
    <w:div w:id="399793113">
      <w:bodyDiv w:val="1"/>
      <w:marLeft w:val="0"/>
      <w:marRight w:val="0"/>
      <w:marTop w:val="0"/>
      <w:marBottom w:val="0"/>
      <w:divBdr>
        <w:top w:val="none" w:sz="0" w:space="0" w:color="auto"/>
        <w:left w:val="none" w:sz="0" w:space="0" w:color="auto"/>
        <w:bottom w:val="none" w:sz="0" w:space="0" w:color="auto"/>
        <w:right w:val="none" w:sz="0" w:space="0" w:color="auto"/>
      </w:divBdr>
    </w:div>
    <w:div w:id="423721325">
      <w:bodyDiv w:val="1"/>
      <w:marLeft w:val="0"/>
      <w:marRight w:val="0"/>
      <w:marTop w:val="0"/>
      <w:marBottom w:val="0"/>
      <w:divBdr>
        <w:top w:val="none" w:sz="0" w:space="0" w:color="auto"/>
        <w:left w:val="none" w:sz="0" w:space="0" w:color="auto"/>
        <w:bottom w:val="none" w:sz="0" w:space="0" w:color="auto"/>
        <w:right w:val="none" w:sz="0" w:space="0" w:color="auto"/>
      </w:divBdr>
    </w:div>
    <w:div w:id="427582997">
      <w:bodyDiv w:val="1"/>
      <w:marLeft w:val="0"/>
      <w:marRight w:val="0"/>
      <w:marTop w:val="0"/>
      <w:marBottom w:val="0"/>
      <w:divBdr>
        <w:top w:val="none" w:sz="0" w:space="0" w:color="auto"/>
        <w:left w:val="none" w:sz="0" w:space="0" w:color="auto"/>
        <w:bottom w:val="none" w:sz="0" w:space="0" w:color="auto"/>
        <w:right w:val="none" w:sz="0" w:space="0" w:color="auto"/>
      </w:divBdr>
    </w:div>
    <w:div w:id="458111131">
      <w:bodyDiv w:val="1"/>
      <w:marLeft w:val="0"/>
      <w:marRight w:val="0"/>
      <w:marTop w:val="0"/>
      <w:marBottom w:val="0"/>
      <w:divBdr>
        <w:top w:val="none" w:sz="0" w:space="0" w:color="auto"/>
        <w:left w:val="none" w:sz="0" w:space="0" w:color="auto"/>
        <w:bottom w:val="none" w:sz="0" w:space="0" w:color="auto"/>
        <w:right w:val="none" w:sz="0" w:space="0" w:color="auto"/>
      </w:divBdr>
    </w:div>
    <w:div w:id="459225253">
      <w:bodyDiv w:val="1"/>
      <w:marLeft w:val="0"/>
      <w:marRight w:val="0"/>
      <w:marTop w:val="0"/>
      <w:marBottom w:val="0"/>
      <w:divBdr>
        <w:top w:val="none" w:sz="0" w:space="0" w:color="auto"/>
        <w:left w:val="none" w:sz="0" w:space="0" w:color="auto"/>
        <w:bottom w:val="none" w:sz="0" w:space="0" w:color="auto"/>
        <w:right w:val="none" w:sz="0" w:space="0" w:color="auto"/>
      </w:divBdr>
    </w:div>
    <w:div w:id="467861728">
      <w:bodyDiv w:val="1"/>
      <w:marLeft w:val="0"/>
      <w:marRight w:val="0"/>
      <w:marTop w:val="0"/>
      <w:marBottom w:val="0"/>
      <w:divBdr>
        <w:top w:val="none" w:sz="0" w:space="0" w:color="auto"/>
        <w:left w:val="none" w:sz="0" w:space="0" w:color="auto"/>
        <w:bottom w:val="none" w:sz="0" w:space="0" w:color="auto"/>
        <w:right w:val="none" w:sz="0" w:space="0" w:color="auto"/>
      </w:divBdr>
    </w:div>
    <w:div w:id="474032521">
      <w:bodyDiv w:val="1"/>
      <w:marLeft w:val="0"/>
      <w:marRight w:val="0"/>
      <w:marTop w:val="0"/>
      <w:marBottom w:val="0"/>
      <w:divBdr>
        <w:top w:val="none" w:sz="0" w:space="0" w:color="auto"/>
        <w:left w:val="none" w:sz="0" w:space="0" w:color="auto"/>
        <w:bottom w:val="none" w:sz="0" w:space="0" w:color="auto"/>
        <w:right w:val="none" w:sz="0" w:space="0" w:color="auto"/>
      </w:divBdr>
    </w:div>
    <w:div w:id="514657550">
      <w:bodyDiv w:val="1"/>
      <w:marLeft w:val="0"/>
      <w:marRight w:val="0"/>
      <w:marTop w:val="0"/>
      <w:marBottom w:val="0"/>
      <w:divBdr>
        <w:top w:val="none" w:sz="0" w:space="0" w:color="auto"/>
        <w:left w:val="none" w:sz="0" w:space="0" w:color="auto"/>
        <w:bottom w:val="none" w:sz="0" w:space="0" w:color="auto"/>
        <w:right w:val="none" w:sz="0" w:space="0" w:color="auto"/>
      </w:divBdr>
    </w:div>
    <w:div w:id="516970319">
      <w:bodyDiv w:val="1"/>
      <w:marLeft w:val="0"/>
      <w:marRight w:val="0"/>
      <w:marTop w:val="0"/>
      <w:marBottom w:val="0"/>
      <w:divBdr>
        <w:top w:val="none" w:sz="0" w:space="0" w:color="auto"/>
        <w:left w:val="none" w:sz="0" w:space="0" w:color="auto"/>
        <w:bottom w:val="none" w:sz="0" w:space="0" w:color="auto"/>
        <w:right w:val="none" w:sz="0" w:space="0" w:color="auto"/>
      </w:divBdr>
    </w:div>
    <w:div w:id="552472536">
      <w:bodyDiv w:val="1"/>
      <w:marLeft w:val="0"/>
      <w:marRight w:val="0"/>
      <w:marTop w:val="0"/>
      <w:marBottom w:val="0"/>
      <w:divBdr>
        <w:top w:val="none" w:sz="0" w:space="0" w:color="auto"/>
        <w:left w:val="none" w:sz="0" w:space="0" w:color="auto"/>
        <w:bottom w:val="none" w:sz="0" w:space="0" w:color="auto"/>
        <w:right w:val="none" w:sz="0" w:space="0" w:color="auto"/>
      </w:divBdr>
    </w:div>
    <w:div w:id="553784205">
      <w:bodyDiv w:val="1"/>
      <w:marLeft w:val="0"/>
      <w:marRight w:val="0"/>
      <w:marTop w:val="0"/>
      <w:marBottom w:val="0"/>
      <w:divBdr>
        <w:top w:val="none" w:sz="0" w:space="0" w:color="auto"/>
        <w:left w:val="none" w:sz="0" w:space="0" w:color="auto"/>
        <w:bottom w:val="none" w:sz="0" w:space="0" w:color="auto"/>
        <w:right w:val="none" w:sz="0" w:space="0" w:color="auto"/>
      </w:divBdr>
    </w:div>
    <w:div w:id="572738228">
      <w:bodyDiv w:val="1"/>
      <w:marLeft w:val="0"/>
      <w:marRight w:val="0"/>
      <w:marTop w:val="0"/>
      <w:marBottom w:val="0"/>
      <w:divBdr>
        <w:top w:val="none" w:sz="0" w:space="0" w:color="auto"/>
        <w:left w:val="none" w:sz="0" w:space="0" w:color="auto"/>
        <w:bottom w:val="none" w:sz="0" w:space="0" w:color="auto"/>
        <w:right w:val="none" w:sz="0" w:space="0" w:color="auto"/>
      </w:divBdr>
    </w:div>
    <w:div w:id="579098170">
      <w:bodyDiv w:val="1"/>
      <w:marLeft w:val="0"/>
      <w:marRight w:val="0"/>
      <w:marTop w:val="0"/>
      <w:marBottom w:val="0"/>
      <w:divBdr>
        <w:top w:val="none" w:sz="0" w:space="0" w:color="auto"/>
        <w:left w:val="none" w:sz="0" w:space="0" w:color="auto"/>
        <w:bottom w:val="none" w:sz="0" w:space="0" w:color="auto"/>
        <w:right w:val="none" w:sz="0" w:space="0" w:color="auto"/>
      </w:divBdr>
    </w:div>
    <w:div w:id="588465974">
      <w:bodyDiv w:val="1"/>
      <w:marLeft w:val="0"/>
      <w:marRight w:val="0"/>
      <w:marTop w:val="0"/>
      <w:marBottom w:val="0"/>
      <w:divBdr>
        <w:top w:val="none" w:sz="0" w:space="0" w:color="auto"/>
        <w:left w:val="none" w:sz="0" w:space="0" w:color="auto"/>
        <w:bottom w:val="none" w:sz="0" w:space="0" w:color="auto"/>
        <w:right w:val="none" w:sz="0" w:space="0" w:color="auto"/>
      </w:divBdr>
    </w:div>
    <w:div w:id="594629340">
      <w:bodyDiv w:val="1"/>
      <w:marLeft w:val="0"/>
      <w:marRight w:val="0"/>
      <w:marTop w:val="0"/>
      <w:marBottom w:val="0"/>
      <w:divBdr>
        <w:top w:val="none" w:sz="0" w:space="0" w:color="auto"/>
        <w:left w:val="none" w:sz="0" w:space="0" w:color="auto"/>
        <w:bottom w:val="none" w:sz="0" w:space="0" w:color="auto"/>
        <w:right w:val="none" w:sz="0" w:space="0" w:color="auto"/>
      </w:divBdr>
    </w:div>
    <w:div w:id="597057942">
      <w:bodyDiv w:val="1"/>
      <w:marLeft w:val="0"/>
      <w:marRight w:val="0"/>
      <w:marTop w:val="0"/>
      <w:marBottom w:val="0"/>
      <w:divBdr>
        <w:top w:val="none" w:sz="0" w:space="0" w:color="auto"/>
        <w:left w:val="none" w:sz="0" w:space="0" w:color="auto"/>
        <w:bottom w:val="none" w:sz="0" w:space="0" w:color="auto"/>
        <w:right w:val="none" w:sz="0" w:space="0" w:color="auto"/>
      </w:divBdr>
    </w:div>
    <w:div w:id="603465408">
      <w:bodyDiv w:val="1"/>
      <w:marLeft w:val="0"/>
      <w:marRight w:val="0"/>
      <w:marTop w:val="0"/>
      <w:marBottom w:val="0"/>
      <w:divBdr>
        <w:top w:val="none" w:sz="0" w:space="0" w:color="auto"/>
        <w:left w:val="none" w:sz="0" w:space="0" w:color="auto"/>
        <w:bottom w:val="none" w:sz="0" w:space="0" w:color="auto"/>
        <w:right w:val="none" w:sz="0" w:space="0" w:color="auto"/>
      </w:divBdr>
    </w:div>
    <w:div w:id="643314276">
      <w:bodyDiv w:val="1"/>
      <w:marLeft w:val="0"/>
      <w:marRight w:val="0"/>
      <w:marTop w:val="0"/>
      <w:marBottom w:val="0"/>
      <w:divBdr>
        <w:top w:val="none" w:sz="0" w:space="0" w:color="auto"/>
        <w:left w:val="none" w:sz="0" w:space="0" w:color="auto"/>
        <w:bottom w:val="none" w:sz="0" w:space="0" w:color="auto"/>
        <w:right w:val="none" w:sz="0" w:space="0" w:color="auto"/>
      </w:divBdr>
    </w:div>
    <w:div w:id="644512451">
      <w:bodyDiv w:val="1"/>
      <w:marLeft w:val="0"/>
      <w:marRight w:val="0"/>
      <w:marTop w:val="0"/>
      <w:marBottom w:val="0"/>
      <w:divBdr>
        <w:top w:val="none" w:sz="0" w:space="0" w:color="auto"/>
        <w:left w:val="none" w:sz="0" w:space="0" w:color="auto"/>
        <w:bottom w:val="none" w:sz="0" w:space="0" w:color="auto"/>
        <w:right w:val="none" w:sz="0" w:space="0" w:color="auto"/>
      </w:divBdr>
    </w:div>
    <w:div w:id="672800343">
      <w:bodyDiv w:val="1"/>
      <w:marLeft w:val="0"/>
      <w:marRight w:val="0"/>
      <w:marTop w:val="0"/>
      <w:marBottom w:val="0"/>
      <w:divBdr>
        <w:top w:val="none" w:sz="0" w:space="0" w:color="auto"/>
        <w:left w:val="none" w:sz="0" w:space="0" w:color="auto"/>
        <w:bottom w:val="none" w:sz="0" w:space="0" w:color="auto"/>
        <w:right w:val="none" w:sz="0" w:space="0" w:color="auto"/>
      </w:divBdr>
    </w:div>
    <w:div w:id="679504572">
      <w:bodyDiv w:val="1"/>
      <w:marLeft w:val="0"/>
      <w:marRight w:val="0"/>
      <w:marTop w:val="0"/>
      <w:marBottom w:val="0"/>
      <w:divBdr>
        <w:top w:val="none" w:sz="0" w:space="0" w:color="auto"/>
        <w:left w:val="none" w:sz="0" w:space="0" w:color="auto"/>
        <w:bottom w:val="none" w:sz="0" w:space="0" w:color="auto"/>
        <w:right w:val="none" w:sz="0" w:space="0" w:color="auto"/>
      </w:divBdr>
    </w:div>
    <w:div w:id="697779729">
      <w:bodyDiv w:val="1"/>
      <w:marLeft w:val="0"/>
      <w:marRight w:val="0"/>
      <w:marTop w:val="0"/>
      <w:marBottom w:val="0"/>
      <w:divBdr>
        <w:top w:val="none" w:sz="0" w:space="0" w:color="auto"/>
        <w:left w:val="none" w:sz="0" w:space="0" w:color="auto"/>
        <w:bottom w:val="none" w:sz="0" w:space="0" w:color="auto"/>
        <w:right w:val="none" w:sz="0" w:space="0" w:color="auto"/>
      </w:divBdr>
    </w:div>
    <w:div w:id="702098961">
      <w:bodyDiv w:val="1"/>
      <w:marLeft w:val="0"/>
      <w:marRight w:val="0"/>
      <w:marTop w:val="0"/>
      <w:marBottom w:val="0"/>
      <w:divBdr>
        <w:top w:val="none" w:sz="0" w:space="0" w:color="auto"/>
        <w:left w:val="none" w:sz="0" w:space="0" w:color="auto"/>
        <w:bottom w:val="none" w:sz="0" w:space="0" w:color="auto"/>
        <w:right w:val="none" w:sz="0" w:space="0" w:color="auto"/>
      </w:divBdr>
    </w:div>
    <w:div w:id="722756738">
      <w:bodyDiv w:val="1"/>
      <w:marLeft w:val="0"/>
      <w:marRight w:val="0"/>
      <w:marTop w:val="0"/>
      <w:marBottom w:val="0"/>
      <w:divBdr>
        <w:top w:val="none" w:sz="0" w:space="0" w:color="auto"/>
        <w:left w:val="none" w:sz="0" w:space="0" w:color="auto"/>
        <w:bottom w:val="none" w:sz="0" w:space="0" w:color="auto"/>
        <w:right w:val="none" w:sz="0" w:space="0" w:color="auto"/>
      </w:divBdr>
    </w:div>
    <w:div w:id="820005335">
      <w:bodyDiv w:val="1"/>
      <w:marLeft w:val="0"/>
      <w:marRight w:val="0"/>
      <w:marTop w:val="0"/>
      <w:marBottom w:val="0"/>
      <w:divBdr>
        <w:top w:val="none" w:sz="0" w:space="0" w:color="auto"/>
        <w:left w:val="none" w:sz="0" w:space="0" w:color="auto"/>
        <w:bottom w:val="none" w:sz="0" w:space="0" w:color="auto"/>
        <w:right w:val="none" w:sz="0" w:space="0" w:color="auto"/>
      </w:divBdr>
    </w:div>
    <w:div w:id="842161505">
      <w:bodyDiv w:val="1"/>
      <w:marLeft w:val="0"/>
      <w:marRight w:val="0"/>
      <w:marTop w:val="0"/>
      <w:marBottom w:val="0"/>
      <w:divBdr>
        <w:top w:val="none" w:sz="0" w:space="0" w:color="auto"/>
        <w:left w:val="none" w:sz="0" w:space="0" w:color="auto"/>
        <w:bottom w:val="none" w:sz="0" w:space="0" w:color="auto"/>
        <w:right w:val="none" w:sz="0" w:space="0" w:color="auto"/>
      </w:divBdr>
    </w:div>
    <w:div w:id="866065444">
      <w:bodyDiv w:val="1"/>
      <w:marLeft w:val="0"/>
      <w:marRight w:val="0"/>
      <w:marTop w:val="0"/>
      <w:marBottom w:val="0"/>
      <w:divBdr>
        <w:top w:val="none" w:sz="0" w:space="0" w:color="auto"/>
        <w:left w:val="none" w:sz="0" w:space="0" w:color="auto"/>
        <w:bottom w:val="none" w:sz="0" w:space="0" w:color="auto"/>
        <w:right w:val="none" w:sz="0" w:space="0" w:color="auto"/>
      </w:divBdr>
    </w:div>
    <w:div w:id="869680022">
      <w:bodyDiv w:val="1"/>
      <w:marLeft w:val="0"/>
      <w:marRight w:val="0"/>
      <w:marTop w:val="0"/>
      <w:marBottom w:val="0"/>
      <w:divBdr>
        <w:top w:val="none" w:sz="0" w:space="0" w:color="auto"/>
        <w:left w:val="none" w:sz="0" w:space="0" w:color="auto"/>
        <w:bottom w:val="none" w:sz="0" w:space="0" w:color="auto"/>
        <w:right w:val="none" w:sz="0" w:space="0" w:color="auto"/>
      </w:divBdr>
    </w:div>
    <w:div w:id="885679629">
      <w:bodyDiv w:val="1"/>
      <w:marLeft w:val="0"/>
      <w:marRight w:val="0"/>
      <w:marTop w:val="0"/>
      <w:marBottom w:val="0"/>
      <w:divBdr>
        <w:top w:val="none" w:sz="0" w:space="0" w:color="auto"/>
        <w:left w:val="none" w:sz="0" w:space="0" w:color="auto"/>
        <w:bottom w:val="none" w:sz="0" w:space="0" w:color="auto"/>
        <w:right w:val="none" w:sz="0" w:space="0" w:color="auto"/>
      </w:divBdr>
    </w:div>
    <w:div w:id="916279743">
      <w:bodyDiv w:val="1"/>
      <w:marLeft w:val="0"/>
      <w:marRight w:val="0"/>
      <w:marTop w:val="0"/>
      <w:marBottom w:val="0"/>
      <w:divBdr>
        <w:top w:val="none" w:sz="0" w:space="0" w:color="auto"/>
        <w:left w:val="none" w:sz="0" w:space="0" w:color="auto"/>
        <w:bottom w:val="none" w:sz="0" w:space="0" w:color="auto"/>
        <w:right w:val="none" w:sz="0" w:space="0" w:color="auto"/>
      </w:divBdr>
    </w:div>
    <w:div w:id="965433172">
      <w:bodyDiv w:val="1"/>
      <w:marLeft w:val="0"/>
      <w:marRight w:val="0"/>
      <w:marTop w:val="0"/>
      <w:marBottom w:val="0"/>
      <w:divBdr>
        <w:top w:val="none" w:sz="0" w:space="0" w:color="auto"/>
        <w:left w:val="none" w:sz="0" w:space="0" w:color="auto"/>
        <w:bottom w:val="none" w:sz="0" w:space="0" w:color="auto"/>
        <w:right w:val="none" w:sz="0" w:space="0" w:color="auto"/>
      </w:divBdr>
    </w:div>
    <w:div w:id="978268790">
      <w:bodyDiv w:val="1"/>
      <w:marLeft w:val="0"/>
      <w:marRight w:val="0"/>
      <w:marTop w:val="0"/>
      <w:marBottom w:val="0"/>
      <w:divBdr>
        <w:top w:val="none" w:sz="0" w:space="0" w:color="auto"/>
        <w:left w:val="none" w:sz="0" w:space="0" w:color="auto"/>
        <w:bottom w:val="none" w:sz="0" w:space="0" w:color="auto"/>
        <w:right w:val="none" w:sz="0" w:space="0" w:color="auto"/>
      </w:divBdr>
    </w:div>
    <w:div w:id="982273599">
      <w:bodyDiv w:val="1"/>
      <w:marLeft w:val="0"/>
      <w:marRight w:val="0"/>
      <w:marTop w:val="0"/>
      <w:marBottom w:val="0"/>
      <w:divBdr>
        <w:top w:val="none" w:sz="0" w:space="0" w:color="auto"/>
        <w:left w:val="none" w:sz="0" w:space="0" w:color="auto"/>
        <w:bottom w:val="none" w:sz="0" w:space="0" w:color="auto"/>
        <w:right w:val="none" w:sz="0" w:space="0" w:color="auto"/>
      </w:divBdr>
    </w:div>
    <w:div w:id="983971086">
      <w:bodyDiv w:val="1"/>
      <w:marLeft w:val="0"/>
      <w:marRight w:val="0"/>
      <w:marTop w:val="0"/>
      <w:marBottom w:val="0"/>
      <w:divBdr>
        <w:top w:val="none" w:sz="0" w:space="0" w:color="auto"/>
        <w:left w:val="none" w:sz="0" w:space="0" w:color="auto"/>
        <w:bottom w:val="none" w:sz="0" w:space="0" w:color="auto"/>
        <w:right w:val="none" w:sz="0" w:space="0" w:color="auto"/>
      </w:divBdr>
    </w:div>
    <w:div w:id="1008479377">
      <w:bodyDiv w:val="1"/>
      <w:marLeft w:val="0"/>
      <w:marRight w:val="0"/>
      <w:marTop w:val="0"/>
      <w:marBottom w:val="0"/>
      <w:divBdr>
        <w:top w:val="none" w:sz="0" w:space="0" w:color="auto"/>
        <w:left w:val="none" w:sz="0" w:space="0" w:color="auto"/>
        <w:bottom w:val="none" w:sz="0" w:space="0" w:color="auto"/>
        <w:right w:val="none" w:sz="0" w:space="0" w:color="auto"/>
      </w:divBdr>
    </w:div>
    <w:div w:id="1028725193">
      <w:bodyDiv w:val="1"/>
      <w:marLeft w:val="0"/>
      <w:marRight w:val="0"/>
      <w:marTop w:val="0"/>
      <w:marBottom w:val="0"/>
      <w:divBdr>
        <w:top w:val="none" w:sz="0" w:space="0" w:color="auto"/>
        <w:left w:val="none" w:sz="0" w:space="0" w:color="auto"/>
        <w:bottom w:val="none" w:sz="0" w:space="0" w:color="auto"/>
        <w:right w:val="none" w:sz="0" w:space="0" w:color="auto"/>
      </w:divBdr>
    </w:div>
    <w:div w:id="1033964083">
      <w:bodyDiv w:val="1"/>
      <w:marLeft w:val="0"/>
      <w:marRight w:val="0"/>
      <w:marTop w:val="0"/>
      <w:marBottom w:val="0"/>
      <w:divBdr>
        <w:top w:val="none" w:sz="0" w:space="0" w:color="auto"/>
        <w:left w:val="none" w:sz="0" w:space="0" w:color="auto"/>
        <w:bottom w:val="none" w:sz="0" w:space="0" w:color="auto"/>
        <w:right w:val="none" w:sz="0" w:space="0" w:color="auto"/>
      </w:divBdr>
    </w:div>
    <w:div w:id="1051222316">
      <w:bodyDiv w:val="1"/>
      <w:marLeft w:val="0"/>
      <w:marRight w:val="0"/>
      <w:marTop w:val="0"/>
      <w:marBottom w:val="0"/>
      <w:divBdr>
        <w:top w:val="none" w:sz="0" w:space="0" w:color="auto"/>
        <w:left w:val="none" w:sz="0" w:space="0" w:color="auto"/>
        <w:bottom w:val="none" w:sz="0" w:space="0" w:color="auto"/>
        <w:right w:val="none" w:sz="0" w:space="0" w:color="auto"/>
      </w:divBdr>
    </w:div>
    <w:div w:id="1051343484">
      <w:bodyDiv w:val="1"/>
      <w:marLeft w:val="0"/>
      <w:marRight w:val="0"/>
      <w:marTop w:val="0"/>
      <w:marBottom w:val="0"/>
      <w:divBdr>
        <w:top w:val="none" w:sz="0" w:space="0" w:color="auto"/>
        <w:left w:val="none" w:sz="0" w:space="0" w:color="auto"/>
        <w:bottom w:val="none" w:sz="0" w:space="0" w:color="auto"/>
        <w:right w:val="none" w:sz="0" w:space="0" w:color="auto"/>
      </w:divBdr>
    </w:div>
    <w:div w:id="1052923628">
      <w:bodyDiv w:val="1"/>
      <w:marLeft w:val="0"/>
      <w:marRight w:val="0"/>
      <w:marTop w:val="0"/>
      <w:marBottom w:val="0"/>
      <w:divBdr>
        <w:top w:val="none" w:sz="0" w:space="0" w:color="auto"/>
        <w:left w:val="none" w:sz="0" w:space="0" w:color="auto"/>
        <w:bottom w:val="none" w:sz="0" w:space="0" w:color="auto"/>
        <w:right w:val="none" w:sz="0" w:space="0" w:color="auto"/>
      </w:divBdr>
    </w:div>
    <w:div w:id="1065760851">
      <w:bodyDiv w:val="1"/>
      <w:marLeft w:val="0"/>
      <w:marRight w:val="0"/>
      <w:marTop w:val="0"/>
      <w:marBottom w:val="0"/>
      <w:divBdr>
        <w:top w:val="none" w:sz="0" w:space="0" w:color="auto"/>
        <w:left w:val="none" w:sz="0" w:space="0" w:color="auto"/>
        <w:bottom w:val="none" w:sz="0" w:space="0" w:color="auto"/>
        <w:right w:val="none" w:sz="0" w:space="0" w:color="auto"/>
      </w:divBdr>
    </w:div>
    <w:div w:id="1069691583">
      <w:bodyDiv w:val="1"/>
      <w:marLeft w:val="0"/>
      <w:marRight w:val="0"/>
      <w:marTop w:val="0"/>
      <w:marBottom w:val="0"/>
      <w:divBdr>
        <w:top w:val="none" w:sz="0" w:space="0" w:color="auto"/>
        <w:left w:val="none" w:sz="0" w:space="0" w:color="auto"/>
        <w:bottom w:val="none" w:sz="0" w:space="0" w:color="auto"/>
        <w:right w:val="none" w:sz="0" w:space="0" w:color="auto"/>
      </w:divBdr>
    </w:div>
    <w:div w:id="1075208236">
      <w:bodyDiv w:val="1"/>
      <w:marLeft w:val="0"/>
      <w:marRight w:val="0"/>
      <w:marTop w:val="0"/>
      <w:marBottom w:val="0"/>
      <w:divBdr>
        <w:top w:val="none" w:sz="0" w:space="0" w:color="auto"/>
        <w:left w:val="none" w:sz="0" w:space="0" w:color="auto"/>
        <w:bottom w:val="none" w:sz="0" w:space="0" w:color="auto"/>
        <w:right w:val="none" w:sz="0" w:space="0" w:color="auto"/>
      </w:divBdr>
    </w:div>
    <w:div w:id="1081103401">
      <w:bodyDiv w:val="1"/>
      <w:marLeft w:val="0"/>
      <w:marRight w:val="0"/>
      <w:marTop w:val="0"/>
      <w:marBottom w:val="0"/>
      <w:divBdr>
        <w:top w:val="none" w:sz="0" w:space="0" w:color="auto"/>
        <w:left w:val="none" w:sz="0" w:space="0" w:color="auto"/>
        <w:bottom w:val="none" w:sz="0" w:space="0" w:color="auto"/>
        <w:right w:val="none" w:sz="0" w:space="0" w:color="auto"/>
      </w:divBdr>
    </w:div>
    <w:div w:id="1102410565">
      <w:bodyDiv w:val="1"/>
      <w:marLeft w:val="0"/>
      <w:marRight w:val="0"/>
      <w:marTop w:val="0"/>
      <w:marBottom w:val="0"/>
      <w:divBdr>
        <w:top w:val="none" w:sz="0" w:space="0" w:color="auto"/>
        <w:left w:val="none" w:sz="0" w:space="0" w:color="auto"/>
        <w:bottom w:val="none" w:sz="0" w:space="0" w:color="auto"/>
        <w:right w:val="none" w:sz="0" w:space="0" w:color="auto"/>
      </w:divBdr>
    </w:div>
    <w:div w:id="1120342565">
      <w:bodyDiv w:val="1"/>
      <w:marLeft w:val="0"/>
      <w:marRight w:val="0"/>
      <w:marTop w:val="0"/>
      <w:marBottom w:val="0"/>
      <w:divBdr>
        <w:top w:val="none" w:sz="0" w:space="0" w:color="auto"/>
        <w:left w:val="none" w:sz="0" w:space="0" w:color="auto"/>
        <w:bottom w:val="none" w:sz="0" w:space="0" w:color="auto"/>
        <w:right w:val="none" w:sz="0" w:space="0" w:color="auto"/>
      </w:divBdr>
    </w:div>
    <w:div w:id="1126855798">
      <w:bodyDiv w:val="1"/>
      <w:marLeft w:val="0"/>
      <w:marRight w:val="0"/>
      <w:marTop w:val="0"/>
      <w:marBottom w:val="0"/>
      <w:divBdr>
        <w:top w:val="none" w:sz="0" w:space="0" w:color="auto"/>
        <w:left w:val="none" w:sz="0" w:space="0" w:color="auto"/>
        <w:bottom w:val="none" w:sz="0" w:space="0" w:color="auto"/>
        <w:right w:val="none" w:sz="0" w:space="0" w:color="auto"/>
      </w:divBdr>
    </w:div>
    <w:div w:id="1133015908">
      <w:bodyDiv w:val="1"/>
      <w:marLeft w:val="0"/>
      <w:marRight w:val="0"/>
      <w:marTop w:val="0"/>
      <w:marBottom w:val="0"/>
      <w:divBdr>
        <w:top w:val="none" w:sz="0" w:space="0" w:color="auto"/>
        <w:left w:val="none" w:sz="0" w:space="0" w:color="auto"/>
        <w:bottom w:val="none" w:sz="0" w:space="0" w:color="auto"/>
        <w:right w:val="none" w:sz="0" w:space="0" w:color="auto"/>
      </w:divBdr>
    </w:div>
    <w:div w:id="1150100350">
      <w:bodyDiv w:val="1"/>
      <w:marLeft w:val="0"/>
      <w:marRight w:val="0"/>
      <w:marTop w:val="0"/>
      <w:marBottom w:val="0"/>
      <w:divBdr>
        <w:top w:val="none" w:sz="0" w:space="0" w:color="auto"/>
        <w:left w:val="none" w:sz="0" w:space="0" w:color="auto"/>
        <w:bottom w:val="none" w:sz="0" w:space="0" w:color="auto"/>
        <w:right w:val="none" w:sz="0" w:space="0" w:color="auto"/>
      </w:divBdr>
    </w:div>
    <w:div w:id="1172797013">
      <w:bodyDiv w:val="1"/>
      <w:marLeft w:val="0"/>
      <w:marRight w:val="0"/>
      <w:marTop w:val="0"/>
      <w:marBottom w:val="0"/>
      <w:divBdr>
        <w:top w:val="none" w:sz="0" w:space="0" w:color="auto"/>
        <w:left w:val="none" w:sz="0" w:space="0" w:color="auto"/>
        <w:bottom w:val="none" w:sz="0" w:space="0" w:color="auto"/>
        <w:right w:val="none" w:sz="0" w:space="0" w:color="auto"/>
      </w:divBdr>
    </w:div>
    <w:div w:id="1182083682">
      <w:bodyDiv w:val="1"/>
      <w:marLeft w:val="0"/>
      <w:marRight w:val="0"/>
      <w:marTop w:val="0"/>
      <w:marBottom w:val="0"/>
      <w:divBdr>
        <w:top w:val="none" w:sz="0" w:space="0" w:color="auto"/>
        <w:left w:val="none" w:sz="0" w:space="0" w:color="auto"/>
        <w:bottom w:val="none" w:sz="0" w:space="0" w:color="auto"/>
        <w:right w:val="none" w:sz="0" w:space="0" w:color="auto"/>
      </w:divBdr>
    </w:div>
    <w:div w:id="1200751028">
      <w:bodyDiv w:val="1"/>
      <w:marLeft w:val="0"/>
      <w:marRight w:val="0"/>
      <w:marTop w:val="0"/>
      <w:marBottom w:val="0"/>
      <w:divBdr>
        <w:top w:val="none" w:sz="0" w:space="0" w:color="auto"/>
        <w:left w:val="none" w:sz="0" w:space="0" w:color="auto"/>
        <w:bottom w:val="none" w:sz="0" w:space="0" w:color="auto"/>
        <w:right w:val="none" w:sz="0" w:space="0" w:color="auto"/>
      </w:divBdr>
    </w:div>
    <w:div w:id="1207261098">
      <w:bodyDiv w:val="1"/>
      <w:marLeft w:val="0"/>
      <w:marRight w:val="0"/>
      <w:marTop w:val="0"/>
      <w:marBottom w:val="0"/>
      <w:divBdr>
        <w:top w:val="none" w:sz="0" w:space="0" w:color="auto"/>
        <w:left w:val="none" w:sz="0" w:space="0" w:color="auto"/>
        <w:bottom w:val="none" w:sz="0" w:space="0" w:color="auto"/>
        <w:right w:val="none" w:sz="0" w:space="0" w:color="auto"/>
      </w:divBdr>
    </w:div>
    <w:div w:id="1219174018">
      <w:bodyDiv w:val="1"/>
      <w:marLeft w:val="0"/>
      <w:marRight w:val="0"/>
      <w:marTop w:val="0"/>
      <w:marBottom w:val="0"/>
      <w:divBdr>
        <w:top w:val="none" w:sz="0" w:space="0" w:color="auto"/>
        <w:left w:val="none" w:sz="0" w:space="0" w:color="auto"/>
        <w:bottom w:val="none" w:sz="0" w:space="0" w:color="auto"/>
        <w:right w:val="none" w:sz="0" w:space="0" w:color="auto"/>
      </w:divBdr>
    </w:div>
    <w:div w:id="1239367473">
      <w:bodyDiv w:val="1"/>
      <w:marLeft w:val="0"/>
      <w:marRight w:val="0"/>
      <w:marTop w:val="0"/>
      <w:marBottom w:val="0"/>
      <w:divBdr>
        <w:top w:val="none" w:sz="0" w:space="0" w:color="auto"/>
        <w:left w:val="none" w:sz="0" w:space="0" w:color="auto"/>
        <w:bottom w:val="none" w:sz="0" w:space="0" w:color="auto"/>
        <w:right w:val="none" w:sz="0" w:space="0" w:color="auto"/>
      </w:divBdr>
    </w:div>
    <w:div w:id="1274511208">
      <w:bodyDiv w:val="1"/>
      <w:marLeft w:val="0"/>
      <w:marRight w:val="0"/>
      <w:marTop w:val="0"/>
      <w:marBottom w:val="0"/>
      <w:divBdr>
        <w:top w:val="none" w:sz="0" w:space="0" w:color="auto"/>
        <w:left w:val="none" w:sz="0" w:space="0" w:color="auto"/>
        <w:bottom w:val="none" w:sz="0" w:space="0" w:color="auto"/>
        <w:right w:val="none" w:sz="0" w:space="0" w:color="auto"/>
      </w:divBdr>
    </w:div>
    <w:div w:id="1280724563">
      <w:bodyDiv w:val="1"/>
      <w:marLeft w:val="0"/>
      <w:marRight w:val="0"/>
      <w:marTop w:val="0"/>
      <w:marBottom w:val="0"/>
      <w:divBdr>
        <w:top w:val="none" w:sz="0" w:space="0" w:color="auto"/>
        <w:left w:val="none" w:sz="0" w:space="0" w:color="auto"/>
        <w:bottom w:val="none" w:sz="0" w:space="0" w:color="auto"/>
        <w:right w:val="none" w:sz="0" w:space="0" w:color="auto"/>
      </w:divBdr>
    </w:div>
    <w:div w:id="1298728546">
      <w:bodyDiv w:val="1"/>
      <w:marLeft w:val="0"/>
      <w:marRight w:val="0"/>
      <w:marTop w:val="0"/>
      <w:marBottom w:val="0"/>
      <w:divBdr>
        <w:top w:val="none" w:sz="0" w:space="0" w:color="auto"/>
        <w:left w:val="none" w:sz="0" w:space="0" w:color="auto"/>
        <w:bottom w:val="none" w:sz="0" w:space="0" w:color="auto"/>
        <w:right w:val="none" w:sz="0" w:space="0" w:color="auto"/>
      </w:divBdr>
    </w:div>
    <w:div w:id="1310134743">
      <w:bodyDiv w:val="1"/>
      <w:marLeft w:val="0"/>
      <w:marRight w:val="0"/>
      <w:marTop w:val="0"/>
      <w:marBottom w:val="0"/>
      <w:divBdr>
        <w:top w:val="none" w:sz="0" w:space="0" w:color="auto"/>
        <w:left w:val="none" w:sz="0" w:space="0" w:color="auto"/>
        <w:bottom w:val="none" w:sz="0" w:space="0" w:color="auto"/>
        <w:right w:val="none" w:sz="0" w:space="0" w:color="auto"/>
      </w:divBdr>
    </w:div>
    <w:div w:id="1310597654">
      <w:bodyDiv w:val="1"/>
      <w:marLeft w:val="0"/>
      <w:marRight w:val="0"/>
      <w:marTop w:val="0"/>
      <w:marBottom w:val="0"/>
      <w:divBdr>
        <w:top w:val="none" w:sz="0" w:space="0" w:color="auto"/>
        <w:left w:val="none" w:sz="0" w:space="0" w:color="auto"/>
        <w:bottom w:val="none" w:sz="0" w:space="0" w:color="auto"/>
        <w:right w:val="none" w:sz="0" w:space="0" w:color="auto"/>
      </w:divBdr>
    </w:div>
    <w:div w:id="1315142228">
      <w:bodyDiv w:val="1"/>
      <w:marLeft w:val="0"/>
      <w:marRight w:val="0"/>
      <w:marTop w:val="0"/>
      <w:marBottom w:val="0"/>
      <w:divBdr>
        <w:top w:val="none" w:sz="0" w:space="0" w:color="auto"/>
        <w:left w:val="none" w:sz="0" w:space="0" w:color="auto"/>
        <w:bottom w:val="none" w:sz="0" w:space="0" w:color="auto"/>
        <w:right w:val="none" w:sz="0" w:space="0" w:color="auto"/>
      </w:divBdr>
    </w:div>
    <w:div w:id="1360619073">
      <w:bodyDiv w:val="1"/>
      <w:marLeft w:val="0"/>
      <w:marRight w:val="0"/>
      <w:marTop w:val="0"/>
      <w:marBottom w:val="0"/>
      <w:divBdr>
        <w:top w:val="none" w:sz="0" w:space="0" w:color="auto"/>
        <w:left w:val="none" w:sz="0" w:space="0" w:color="auto"/>
        <w:bottom w:val="none" w:sz="0" w:space="0" w:color="auto"/>
        <w:right w:val="none" w:sz="0" w:space="0" w:color="auto"/>
      </w:divBdr>
    </w:div>
    <w:div w:id="1369186676">
      <w:bodyDiv w:val="1"/>
      <w:marLeft w:val="0"/>
      <w:marRight w:val="0"/>
      <w:marTop w:val="0"/>
      <w:marBottom w:val="0"/>
      <w:divBdr>
        <w:top w:val="none" w:sz="0" w:space="0" w:color="auto"/>
        <w:left w:val="none" w:sz="0" w:space="0" w:color="auto"/>
        <w:bottom w:val="none" w:sz="0" w:space="0" w:color="auto"/>
        <w:right w:val="none" w:sz="0" w:space="0" w:color="auto"/>
      </w:divBdr>
    </w:div>
    <w:div w:id="1386679382">
      <w:bodyDiv w:val="1"/>
      <w:marLeft w:val="0"/>
      <w:marRight w:val="0"/>
      <w:marTop w:val="0"/>
      <w:marBottom w:val="0"/>
      <w:divBdr>
        <w:top w:val="none" w:sz="0" w:space="0" w:color="auto"/>
        <w:left w:val="none" w:sz="0" w:space="0" w:color="auto"/>
        <w:bottom w:val="none" w:sz="0" w:space="0" w:color="auto"/>
        <w:right w:val="none" w:sz="0" w:space="0" w:color="auto"/>
      </w:divBdr>
    </w:div>
    <w:div w:id="1393583691">
      <w:bodyDiv w:val="1"/>
      <w:marLeft w:val="0"/>
      <w:marRight w:val="0"/>
      <w:marTop w:val="0"/>
      <w:marBottom w:val="0"/>
      <w:divBdr>
        <w:top w:val="none" w:sz="0" w:space="0" w:color="auto"/>
        <w:left w:val="none" w:sz="0" w:space="0" w:color="auto"/>
        <w:bottom w:val="none" w:sz="0" w:space="0" w:color="auto"/>
        <w:right w:val="none" w:sz="0" w:space="0" w:color="auto"/>
      </w:divBdr>
    </w:div>
    <w:div w:id="1426002286">
      <w:bodyDiv w:val="1"/>
      <w:marLeft w:val="0"/>
      <w:marRight w:val="0"/>
      <w:marTop w:val="0"/>
      <w:marBottom w:val="0"/>
      <w:divBdr>
        <w:top w:val="none" w:sz="0" w:space="0" w:color="auto"/>
        <w:left w:val="none" w:sz="0" w:space="0" w:color="auto"/>
        <w:bottom w:val="none" w:sz="0" w:space="0" w:color="auto"/>
        <w:right w:val="none" w:sz="0" w:space="0" w:color="auto"/>
      </w:divBdr>
    </w:div>
    <w:div w:id="1433281244">
      <w:bodyDiv w:val="1"/>
      <w:marLeft w:val="0"/>
      <w:marRight w:val="0"/>
      <w:marTop w:val="0"/>
      <w:marBottom w:val="0"/>
      <w:divBdr>
        <w:top w:val="none" w:sz="0" w:space="0" w:color="auto"/>
        <w:left w:val="none" w:sz="0" w:space="0" w:color="auto"/>
        <w:bottom w:val="none" w:sz="0" w:space="0" w:color="auto"/>
        <w:right w:val="none" w:sz="0" w:space="0" w:color="auto"/>
      </w:divBdr>
    </w:div>
    <w:div w:id="1474561713">
      <w:bodyDiv w:val="1"/>
      <w:marLeft w:val="0"/>
      <w:marRight w:val="0"/>
      <w:marTop w:val="0"/>
      <w:marBottom w:val="0"/>
      <w:divBdr>
        <w:top w:val="none" w:sz="0" w:space="0" w:color="auto"/>
        <w:left w:val="none" w:sz="0" w:space="0" w:color="auto"/>
        <w:bottom w:val="none" w:sz="0" w:space="0" w:color="auto"/>
        <w:right w:val="none" w:sz="0" w:space="0" w:color="auto"/>
      </w:divBdr>
    </w:div>
    <w:div w:id="1481507505">
      <w:bodyDiv w:val="1"/>
      <w:marLeft w:val="0"/>
      <w:marRight w:val="0"/>
      <w:marTop w:val="0"/>
      <w:marBottom w:val="0"/>
      <w:divBdr>
        <w:top w:val="none" w:sz="0" w:space="0" w:color="auto"/>
        <w:left w:val="none" w:sz="0" w:space="0" w:color="auto"/>
        <w:bottom w:val="none" w:sz="0" w:space="0" w:color="auto"/>
        <w:right w:val="none" w:sz="0" w:space="0" w:color="auto"/>
      </w:divBdr>
    </w:div>
    <w:div w:id="1486120336">
      <w:bodyDiv w:val="1"/>
      <w:marLeft w:val="0"/>
      <w:marRight w:val="0"/>
      <w:marTop w:val="0"/>
      <w:marBottom w:val="0"/>
      <w:divBdr>
        <w:top w:val="none" w:sz="0" w:space="0" w:color="auto"/>
        <w:left w:val="none" w:sz="0" w:space="0" w:color="auto"/>
        <w:bottom w:val="none" w:sz="0" w:space="0" w:color="auto"/>
        <w:right w:val="none" w:sz="0" w:space="0" w:color="auto"/>
      </w:divBdr>
    </w:div>
    <w:div w:id="1534150376">
      <w:bodyDiv w:val="1"/>
      <w:marLeft w:val="0"/>
      <w:marRight w:val="0"/>
      <w:marTop w:val="0"/>
      <w:marBottom w:val="0"/>
      <w:divBdr>
        <w:top w:val="none" w:sz="0" w:space="0" w:color="auto"/>
        <w:left w:val="none" w:sz="0" w:space="0" w:color="auto"/>
        <w:bottom w:val="none" w:sz="0" w:space="0" w:color="auto"/>
        <w:right w:val="none" w:sz="0" w:space="0" w:color="auto"/>
      </w:divBdr>
    </w:div>
    <w:div w:id="1569681453">
      <w:bodyDiv w:val="1"/>
      <w:marLeft w:val="0"/>
      <w:marRight w:val="0"/>
      <w:marTop w:val="0"/>
      <w:marBottom w:val="0"/>
      <w:divBdr>
        <w:top w:val="none" w:sz="0" w:space="0" w:color="auto"/>
        <w:left w:val="none" w:sz="0" w:space="0" w:color="auto"/>
        <w:bottom w:val="none" w:sz="0" w:space="0" w:color="auto"/>
        <w:right w:val="none" w:sz="0" w:space="0" w:color="auto"/>
      </w:divBdr>
    </w:div>
    <w:div w:id="1573849775">
      <w:bodyDiv w:val="1"/>
      <w:marLeft w:val="0"/>
      <w:marRight w:val="0"/>
      <w:marTop w:val="0"/>
      <w:marBottom w:val="0"/>
      <w:divBdr>
        <w:top w:val="none" w:sz="0" w:space="0" w:color="auto"/>
        <w:left w:val="none" w:sz="0" w:space="0" w:color="auto"/>
        <w:bottom w:val="none" w:sz="0" w:space="0" w:color="auto"/>
        <w:right w:val="none" w:sz="0" w:space="0" w:color="auto"/>
      </w:divBdr>
    </w:div>
    <w:div w:id="1577398811">
      <w:bodyDiv w:val="1"/>
      <w:marLeft w:val="0"/>
      <w:marRight w:val="0"/>
      <w:marTop w:val="0"/>
      <w:marBottom w:val="0"/>
      <w:divBdr>
        <w:top w:val="none" w:sz="0" w:space="0" w:color="auto"/>
        <w:left w:val="none" w:sz="0" w:space="0" w:color="auto"/>
        <w:bottom w:val="none" w:sz="0" w:space="0" w:color="auto"/>
        <w:right w:val="none" w:sz="0" w:space="0" w:color="auto"/>
      </w:divBdr>
    </w:div>
    <w:div w:id="1612202674">
      <w:bodyDiv w:val="1"/>
      <w:marLeft w:val="0"/>
      <w:marRight w:val="0"/>
      <w:marTop w:val="0"/>
      <w:marBottom w:val="0"/>
      <w:divBdr>
        <w:top w:val="none" w:sz="0" w:space="0" w:color="auto"/>
        <w:left w:val="none" w:sz="0" w:space="0" w:color="auto"/>
        <w:bottom w:val="none" w:sz="0" w:space="0" w:color="auto"/>
        <w:right w:val="none" w:sz="0" w:space="0" w:color="auto"/>
      </w:divBdr>
    </w:div>
    <w:div w:id="1618677715">
      <w:bodyDiv w:val="1"/>
      <w:marLeft w:val="0"/>
      <w:marRight w:val="0"/>
      <w:marTop w:val="0"/>
      <w:marBottom w:val="0"/>
      <w:divBdr>
        <w:top w:val="none" w:sz="0" w:space="0" w:color="auto"/>
        <w:left w:val="none" w:sz="0" w:space="0" w:color="auto"/>
        <w:bottom w:val="none" w:sz="0" w:space="0" w:color="auto"/>
        <w:right w:val="none" w:sz="0" w:space="0" w:color="auto"/>
      </w:divBdr>
    </w:div>
    <w:div w:id="1627001926">
      <w:bodyDiv w:val="1"/>
      <w:marLeft w:val="0"/>
      <w:marRight w:val="0"/>
      <w:marTop w:val="0"/>
      <w:marBottom w:val="0"/>
      <w:divBdr>
        <w:top w:val="none" w:sz="0" w:space="0" w:color="auto"/>
        <w:left w:val="none" w:sz="0" w:space="0" w:color="auto"/>
        <w:bottom w:val="none" w:sz="0" w:space="0" w:color="auto"/>
        <w:right w:val="none" w:sz="0" w:space="0" w:color="auto"/>
      </w:divBdr>
    </w:div>
    <w:div w:id="1631398500">
      <w:bodyDiv w:val="1"/>
      <w:marLeft w:val="0"/>
      <w:marRight w:val="0"/>
      <w:marTop w:val="0"/>
      <w:marBottom w:val="0"/>
      <w:divBdr>
        <w:top w:val="none" w:sz="0" w:space="0" w:color="auto"/>
        <w:left w:val="none" w:sz="0" w:space="0" w:color="auto"/>
        <w:bottom w:val="none" w:sz="0" w:space="0" w:color="auto"/>
        <w:right w:val="none" w:sz="0" w:space="0" w:color="auto"/>
      </w:divBdr>
    </w:div>
    <w:div w:id="1637183011">
      <w:bodyDiv w:val="1"/>
      <w:marLeft w:val="0"/>
      <w:marRight w:val="0"/>
      <w:marTop w:val="0"/>
      <w:marBottom w:val="0"/>
      <w:divBdr>
        <w:top w:val="none" w:sz="0" w:space="0" w:color="auto"/>
        <w:left w:val="none" w:sz="0" w:space="0" w:color="auto"/>
        <w:bottom w:val="none" w:sz="0" w:space="0" w:color="auto"/>
        <w:right w:val="none" w:sz="0" w:space="0" w:color="auto"/>
      </w:divBdr>
    </w:div>
    <w:div w:id="1649900741">
      <w:bodyDiv w:val="1"/>
      <w:marLeft w:val="0"/>
      <w:marRight w:val="0"/>
      <w:marTop w:val="0"/>
      <w:marBottom w:val="0"/>
      <w:divBdr>
        <w:top w:val="none" w:sz="0" w:space="0" w:color="auto"/>
        <w:left w:val="none" w:sz="0" w:space="0" w:color="auto"/>
        <w:bottom w:val="none" w:sz="0" w:space="0" w:color="auto"/>
        <w:right w:val="none" w:sz="0" w:space="0" w:color="auto"/>
      </w:divBdr>
    </w:div>
    <w:div w:id="1666779158">
      <w:bodyDiv w:val="1"/>
      <w:marLeft w:val="0"/>
      <w:marRight w:val="0"/>
      <w:marTop w:val="0"/>
      <w:marBottom w:val="0"/>
      <w:divBdr>
        <w:top w:val="none" w:sz="0" w:space="0" w:color="auto"/>
        <w:left w:val="none" w:sz="0" w:space="0" w:color="auto"/>
        <w:bottom w:val="none" w:sz="0" w:space="0" w:color="auto"/>
        <w:right w:val="none" w:sz="0" w:space="0" w:color="auto"/>
      </w:divBdr>
    </w:div>
    <w:div w:id="1676150755">
      <w:bodyDiv w:val="1"/>
      <w:marLeft w:val="0"/>
      <w:marRight w:val="0"/>
      <w:marTop w:val="0"/>
      <w:marBottom w:val="0"/>
      <w:divBdr>
        <w:top w:val="none" w:sz="0" w:space="0" w:color="auto"/>
        <w:left w:val="none" w:sz="0" w:space="0" w:color="auto"/>
        <w:bottom w:val="none" w:sz="0" w:space="0" w:color="auto"/>
        <w:right w:val="none" w:sz="0" w:space="0" w:color="auto"/>
      </w:divBdr>
    </w:div>
    <w:div w:id="1692417150">
      <w:bodyDiv w:val="1"/>
      <w:marLeft w:val="0"/>
      <w:marRight w:val="0"/>
      <w:marTop w:val="0"/>
      <w:marBottom w:val="0"/>
      <w:divBdr>
        <w:top w:val="none" w:sz="0" w:space="0" w:color="auto"/>
        <w:left w:val="none" w:sz="0" w:space="0" w:color="auto"/>
        <w:bottom w:val="none" w:sz="0" w:space="0" w:color="auto"/>
        <w:right w:val="none" w:sz="0" w:space="0" w:color="auto"/>
      </w:divBdr>
    </w:div>
    <w:div w:id="1692801856">
      <w:bodyDiv w:val="1"/>
      <w:marLeft w:val="0"/>
      <w:marRight w:val="0"/>
      <w:marTop w:val="0"/>
      <w:marBottom w:val="0"/>
      <w:divBdr>
        <w:top w:val="none" w:sz="0" w:space="0" w:color="auto"/>
        <w:left w:val="none" w:sz="0" w:space="0" w:color="auto"/>
        <w:bottom w:val="none" w:sz="0" w:space="0" w:color="auto"/>
        <w:right w:val="none" w:sz="0" w:space="0" w:color="auto"/>
      </w:divBdr>
    </w:div>
    <w:div w:id="1693452021">
      <w:bodyDiv w:val="1"/>
      <w:marLeft w:val="0"/>
      <w:marRight w:val="0"/>
      <w:marTop w:val="0"/>
      <w:marBottom w:val="0"/>
      <w:divBdr>
        <w:top w:val="none" w:sz="0" w:space="0" w:color="auto"/>
        <w:left w:val="none" w:sz="0" w:space="0" w:color="auto"/>
        <w:bottom w:val="none" w:sz="0" w:space="0" w:color="auto"/>
        <w:right w:val="none" w:sz="0" w:space="0" w:color="auto"/>
      </w:divBdr>
    </w:div>
    <w:div w:id="1693918919">
      <w:bodyDiv w:val="1"/>
      <w:marLeft w:val="0"/>
      <w:marRight w:val="0"/>
      <w:marTop w:val="0"/>
      <w:marBottom w:val="0"/>
      <w:divBdr>
        <w:top w:val="none" w:sz="0" w:space="0" w:color="auto"/>
        <w:left w:val="none" w:sz="0" w:space="0" w:color="auto"/>
        <w:bottom w:val="none" w:sz="0" w:space="0" w:color="auto"/>
        <w:right w:val="none" w:sz="0" w:space="0" w:color="auto"/>
      </w:divBdr>
    </w:div>
    <w:div w:id="1700545002">
      <w:bodyDiv w:val="1"/>
      <w:marLeft w:val="0"/>
      <w:marRight w:val="0"/>
      <w:marTop w:val="0"/>
      <w:marBottom w:val="0"/>
      <w:divBdr>
        <w:top w:val="none" w:sz="0" w:space="0" w:color="auto"/>
        <w:left w:val="none" w:sz="0" w:space="0" w:color="auto"/>
        <w:bottom w:val="none" w:sz="0" w:space="0" w:color="auto"/>
        <w:right w:val="none" w:sz="0" w:space="0" w:color="auto"/>
      </w:divBdr>
    </w:div>
    <w:div w:id="1711803412">
      <w:bodyDiv w:val="1"/>
      <w:marLeft w:val="0"/>
      <w:marRight w:val="0"/>
      <w:marTop w:val="0"/>
      <w:marBottom w:val="0"/>
      <w:divBdr>
        <w:top w:val="none" w:sz="0" w:space="0" w:color="auto"/>
        <w:left w:val="none" w:sz="0" w:space="0" w:color="auto"/>
        <w:bottom w:val="none" w:sz="0" w:space="0" w:color="auto"/>
        <w:right w:val="none" w:sz="0" w:space="0" w:color="auto"/>
      </w:divBdr>
    </w:div>
    <w:div w:id="1712073890">
      <w:bodyDiv w:val="1"/>
      <w:marLeft w:val="0"/>
      <w:marRight w:val="0"/>
      <w:marTop w:val="0"/>
      <w:marBottom w:val="0"/>
      <w:divBdr>
        <w:top w:val="none" w:sz="0" w:space="0" w:color="auto"/>
        <w:left w:val="none" w:sz="0" w:space="0" w:color="auto"/>
        <w:bottom w:val="none" w:sz="0" w:space="0" w:color="auto"/>
        <w:right w:val="none" w:sz="0" w:space="0" w:color="auto"/>
      </w:divBdr>
    </w:div>
    <w:div w:id="1732075214">
      <w:bodyDiv w:val="1"/>
      <w:marLeft w:val="0"/>
      <w:marRight w:val="0"/>
      <w:marTop w:val="0"/>
      <w:marBottom w:val="0"/>
      <w:divBdr>
        <w:top w:val="none" w:sz="0" w:space="0" w:color="auto"/>
        <w:left w:val="none" w:sz="0" w:space="0" w:color="auto"/>
        <w:bottom w:val="none" w:sz="0" w:space="0" w:color="auto"/>
        <w:right w:val="none" w:sz="0" w:space="0" w:color="auto"/>
      </w:divBdr>
    </w:div>
    <w:div w:id="1738356968">
      <w:bodyDiv w:val="1"/>
      <w:marLeft w:val="0"/>
      <w:marRight w:val="0"/>
      <w:marTop w:val="0"/>
      <w:marBottom w:val="0"/>
      <w:divBdr>
        <w:top w:val="none" w:sz="0" w:space="0" w:color="auto"/>
        <w:left w:val="none" w:sz="0" w:space="0" w:color="auto"/>
        <w:bottom w:val="none" w:sz="0" w:space="0" w:color="auto"/>
        <w:right w:val="none" w:sz="0" w:space="0" w:color="auto"/>
      </w:divBdr>
    </w:div>
    <w:div w:id="1738476733">
      <w:bodyDiv w:val="1"/>
      <w:marLeft w:val="0"/>
      <w:marRight w:val="0"/>
      <w:marTop w:val="0"/>
      <w:marBottom w:val="0"/>
      <w:divBdr>
        <w:top w:val="none" w:sz="0" w:space="0" w:color="auto"/>
        <w:left w:val="none" w:sz="0" w:space="0" w:color="auto"/>
        <w:bottom w:val="none" w:sz="0" w:space="0" w:color="auto"/>
        <w:right w:val="none" w:sz="0" w:space="0" w:color="auto"/>
      </w:divBdr>
    </w:div>
    <w:div w:id="1754155676">
      <w:bodyDiv w:val="1"/>
      <w:marLeft w:val="0"/>
      <w:marRight w:val="0"/>
      <w:marTop w:val="0"/>
      <w:marBottom w:val="0"/>
      <w:divBdr>
        <w:top w:val="none" w:sz="0" w:space="0" w:color="auto"/>
        <w:left w:val="none" w:sz="0" w:space="0" w:color="auto"/>
        <w:bottom w:val="none" w:sz="0" w:space="0" w:color="auto"/>
        <w:right w:val="none" w:sz="0" w:space="0" w:color="auto"/>
      </w:divBdr>
    </w:div>
    <w:div w:id="1758361354">
      <w:bodyDiv w:val="1"/>
      <w:marLeft w:val="0"/>
      <w:marRight w:val="0"/>
      <w:marTop w:val="0"/>
      <w:marBottom w:val="0"/>
      <w:divBdr>
        <w:top w:val="none" w:sz="0" w:space="0" w:color="auto"/>
        <w:left w:val="none" w:sz="0" w:space="0" w:color="auto"/>
        <w:bottom w:val="none" w:sz="0" w:space="0" w:color="auto"/>
        <w:right w:val="none" w:sz="0" w:space="0" w:color="auto"/>
      </w:divBdr>
    </w:div>
    <w:div w:id="1762145128">
      <w:bodyDiv w:val="1"/>
      <w:marLeft w:val="0"/>
      <w:marRight w:val="0"/>
      <w:marTop w:val="0"/>
      <w:marBottom w:val="0"/>
      <w:divBdr>
        <w:top w:val="none" w:sz="0" w:space="0" w:color="auto"/>
        <w:left w:val="none" w:sz="0" w:space="0" w:color="auto"/>
        <w:bottom w:val="none" w:sz="0" w:space="0" w:color="auto"/>
        <w:right w:val="none" w:sz="0" w:space="0" w:color="auto"/>
      </w:divBdr>
    </w:div>
    <w:div w:id="1765227649">
      <w:bodyDiv w:val="1"/>
      <w:marLeft w:val="0"/>
      <w:marRight w:val="0"/>
      <w:marTop w:val="0"/>
      <w:marBottom w:val="0"/>
      <w:divBdr>
        <w:top w:val="none" w:sz="0" w:space="0" w:color="auto"/>
        <w:left w:val="none" w:sz="0" w:space="0" w:color="auto"/>
        <w:bottom w:val="none" w:sz="0" w:space="0" w:color="auto"/>
        <w:right w:val="none" w:sz="0" w:space="0" w:color="auto"/>
      </w:divBdr>
    </w:div>
    <w:div w:id="1779251726">
      <w:bodyDiv w:val="1"/>
      <w:marLeft w:val="0"/>
      <w:marRight w:val="0"/>
      <w:marTop w:val="0"/>
      <w:marBottom w:val="0"/>
      <w:divBdr>
        <w:top w:val="none" w:sz="0" w:space="0" w:color="auto"/>
        <w:left w:val="none" w:sz="0" w:space="0" w:color="auto"/>
        <w:bottom w:val="none" w:sz="0" w:space="0" w:color="auto"/>
        <w:right w:val="none" w:sz="0" w:space="0" w:color="auto"/>
      </w:divBdr>
    </w:div>
    <w:div w:id="1781681864">
      <w:bodyDiv w:val="1"/>
      <w:marLeft w:val="0"/>
      <w:marRight w:val="0"/>
      <w:marTop w:val="0"/>
      <w:marBottom w:val="0"/>
      <w:divBdr>
        <w:top w:val="none" w:sz="0" w:space="0" w:color="auto"/>
        <w:left w:val="none" w:sz="0" w:space="0" w:color="auto"/>
        <w:bottom w:val="none" w:sz="0" w:space="0" w:color="auto"/>
        <w:right w:val="none" w:sz="0" w:space="0" w:color="auto"/>
      </w:divBdr>
    </w:div>
    <w:div w:id="1783264689">
      <w:bodyDiv w:val="1"/>
      <w:marLeft w:val="0"/>
      <w:marRight w:val="0"/>
      <w:marTop w:val="0"/>
      <w:marBottom w:val="0"/>
      <w:divBdr>
        <w:top w:val="none" w:sz="0" w:space="0" w:color="auto"/>
        <w:left w:val="none" w:sz="0" w:space="0" w:color="auto"/>
        <w:bottom w:val="none" w:sz="0" w:space="0" w:color="auto"/>
        <w:right w:val="none" w:sz="0" w:space="0" w:color="auto"/>
      </w:divBdr>
    </w:div>
    <w:div w:id="1806699474">
      <w:bodyDiv w:val="1"/>
      <w:marLeft w:val="0"/>
      <w:marRight w:val="0"/>
      <w:marTop w:val="0"/>
      <w:marBottom w:val="0"/>
      <w:divBdr>
        <w:top w:val="none" w:sz="0" w:space="0" w:color="auto"/>
        <w:left w:val="none" w:sz="0" w:space="0" w:color="auto"/>
        <w:bottom w:val="none" w:sz="0" w:space="0" w:color="auto"/>
        <w:right w:val="none" w:sz="0" w:space="0" w:color="auto"/>
      </w:divBdr>
    </w:div>
    <w:div w:id="1811824334">
      <w:bodyDiv w:val="1"/>
      <w:marLeft w:val="0"/>
      <w:marRight w:val="0"/>
      <w:marTop w:val="0"/>
      <w:marBottom w:val="0"/>
      <w:divBdr>
        <w:top w:val="none" w:sz="0" w:space="0" w:color="auto"/>
        <w:left w:val="none" w:sz="0" w:space="0" w:color="auto"/>
        <w:bottom w:val="none" w:sz="0" w:space="0" w:color="auto"/>
        <w:right w:val="none" w:sz="0" w:space="0" w:color="auto"/>
      </w:divBdr>
    </w:div>
    <w:div w:id="1831093153">
      <w:bodyDiv w:val="1"/>
      <w:marLeft w:val="0"/>
      <w:marRight w:val="0"/>
      <w:marTop w:val="0"/>
      <w:marBottom w:val="0"/>
      <w:divBdr>
        <w:top w:val="none" w:sz="0" w:space="0" w:color="auto"/>
        <w:left w:val="none" w:sz="0" w:space="0" w:color="auto"/>
        <w:bottom w:val="none" w:sz="0" w:space="0" w:color="auto"/>
        <w:right w:val="none" w:sz="0" w:space="0" w:color="auto"/>
      </w:divBdr>
    </w:div>
    <w:div w:id="1837260940">
      <w:bodyDiv w:val="1"/>
      <w:marLeft w:val="0"/>
      <w:marRight w:val="0"/>
      <w:marTop w:val="0"/>
      <w:marBottom w:val="0"/>
      <w:divBdr>
        <w:top w:val="none" w:sz="0" w:space="0" w:color="auto"/>
        <w:left w:val="none" w:sz="0" w:space="0" w:color="auto"/>
        <w:bottom w:val="none" w:sz="0" w:space="0" w:color="auto"/>
        <w:right w:val="none" w:sz="0" w:space="0" w:color="auto"/>
      </w:divBdr>
    </w:div>
    <w:div w:id="1841964945">
      <w:bodyDiv w:val="1"/>
      <w:marLeft w:val="0"/>
      <w:marRight w:val="0"/>
      <w:marTop w:val="0"/>
      <w:marBottom w:val="0"/>
      <w:divBdr>
        <w:top w:val="none" w:sz="0" w:space="0" w:color="auto"/>
        <w:left w:val="none" w:sz="0" w:space="0" w:color="auto"/>
        <w:bottom w:val="none" w:sz="0" w:space="0" w:color="auto"/>
        <w:right w:val="none" w:sz="0" w:space="0" w:color="auto"/>
      </w:divBdr>
    </w:div>
    <w:div w:id="1848472929">
      <w:bodyDiv w:val="1"/>
      <w:marLeft w:val="0"/>
      <w:marRight w:val="0"/>
      <w:marTop w:val="0"/>
      <w:marBottom w:val="0"/>
      <w:divBdr>
        <w:top w:val="none" w:sz="0" w:space="0" w:color="auto"/>
        <w:left w:val="none" w:sz="0" w:space="0" w:color="auto"/>
        <w:bottom w:val="none" w:sz="0" w:space="0" w:color="auto"/>
        <w:right w:val="none" w:sz="0" w:space="0" w:color="auto"/>
      </w:divBdr>
    </w:div>
    <w:div w:id="1852377301">
      <w:bodyDiv w:val="1"/>
      <w:marLeft w:val="0"/>
      <w:marRight w:val="0"/>
      <w:marTop w:val="0"/>
      <w:marBottom w:val="0"/>
      <w:divBdr>
        <w:top w:val="none" w:sz="0" w:space="0" w:color="auto"/>
        <w:left w:val="none" w:sz="0" w:space="0" w:color="auto"/>
        <w:bottom w:val="none" w:sz="0" w:space="0" w:color="auto"/>
        <w:right w:val="none" w:sz="0" w:space="0" w:color="auto"/>
      </w:divBdr>
    </w:div>
    <w:div w:id="1856385155">
      <w:bodyDiv w:val="1"/>
      <w:marLeft w:val="0"/>
      <w:marRight w:val="0"/>
      <w:marTop w:val="0"/>
      <w:marBottom w:val="0"/>
      <w:divBdr>
        <w:top w:val="none" w:sz="0" w:space="0" w:color="auto"/>
        <w:left w:val="none" w:sz="0" w:space="0" w:color="auto"/>
        <w:bottom w:val="none" w:sz="0" w:space="0" w:color="auto"/>
        <w:right w:val="none" w:sz="0" w:space="0" w:color="auto"/>
      </w:divBdr>
    </w:div>
    <w:div w:id="1864707692">
      <w:bodyDiv w:val="1"/>
      <w:marLeft w:val="0"/>
      <w:marRight w:val="0"/>
      <w:marTop w:val="0"/>
      <w:marBottom w:val="0"/>
      <w:divBdr>
        <w:top w:val="none" w:sz="0" w:space="0" w:color="auto"/>
        <w:left w:val="none" w:sz="0" w:space="0" w:color="auto"/>
        <w:bottom w:val="none" w:sz="0" w:space="0" w:color="auto"/>
        <w:right w:val="none" w:sz="0" w:space="0" w:color="auto"/>
      </w:divBdr>
    </w:div>
    <w:div w:id="1866820481">
      <w:bodyDiv w:val="1"/>
      <w:marLeft w:val="0"/>
      <w:marRight w:val="0"/>
      <w:marTop w:val="0"/>
      <w:marBottom w:val="0"/>
      <w:divBdr>
        <w:top w:val="none" w:sz="0" w:space="0" w:color="auto"/>
        <w:left w:val="none" w:sz="0" w:space="0" w:color="auto"/>
        <w:bottom w:val="none" w:sz="0" w:space="0" w:color="auto"/>
        <w:right w:val="none" w:sz="0" w:space="0" w:color="auto"/>
      </w:divBdr>
    </w:div>
    <w:div w:id="1877544934">
      <w:bodyDiv w:val="1"/>
      <w:marLeft w:val="0"/>
      <w:marRight w:val="0"/>
      <w:marTop w:val="0"/>
      <w:marBottom w:val="0"/>
      <w:divBdr>
        <w:top w:val="none" w:sz="0" w:space="0" w:color="auto"/>
        <w:left w:val="none" w:sz="0" w:space="0" w:color="auto"/>
        <w:bottom w:val="none" w:sz="0" w:space="0" w:color="auto"/>
        <w:right w:val="none" w:sz="0" w:space="0" w:color="auto"/>
      </w:divBdr>
    </w:div>
    <w:div w:id="1878204306">
      <w:bodyDiv w:val="1"/>
      <w:marLeft w:val="0"/>
      <w:marRight w:val="0"/>
      <w:marTop w:val="0"/>
      <w:marBottom w:val="0"/>
      <w:divBdr>
        <w:top w:val="none" w:sz="0" w:space="0" w:color="auto"/>
        <w:left w:val="none" w:sz="0" w:space="0" w:color="auto"/>
        <w:bottom w:val="none" w:sz="0" w:space="0" w:color="auto"/>
        <w:right w:val="none" w:sz="0" w:space="0" w:color="auto"/>
      </w:divBdr>
    </w:div>
    <w:div w:id="1879321620">
      <w:bodyDiv w:val="1"/>
      <w:marLeft w:val="0"/>
      <w:marRight w:val="0"/>
      <w:marTop w:val="0"/>
      <w:marBottom w:val="0"/>
      <w:divBdr>
        <w:top w:val="none" w:sz="0" w:space="0" w:color="auto"/>
        <w:left w:val="none" w:sz="0" w:space="0" w:color="auto"/>
        <w:bottom w:val="none" w:sz="0" w:space="0" w:color="auto"/>
        <w:right w:val="none" w:sz="0" w:space="0" w:color="auto"/>
      </w:divBdr>
    </w:div>
    <w:div w:id="1924945773">
      <w:bodyDiv w:val="1"/>
      <w:marLeft w:val="0"/>
      <w:marRight w:val="0"/>
      <w:marTop w:val="0"/>
      <w:marBottom w:val="0"/>
      <w:divBdr>
        <w:top w:val="none" w:sz="0" w:space="0" w:color="auto"/>
        <w:left w:val="none" w:sz="0" w:space="0" w:color="auto"/>
        <w:bottom w:val="none" w:sz="0" w:space="0" w:color="auto"/>
        <w:right w:val="none" w:sz="0" w:space="0" w:color="auto"/>
      </w:divBdr>
    </w:div>
    <w:div w:id="1940793345">
      <w:bodyDiv w:val="1"/>
      <w:marLeft w:val="0"/>
      <w:marRight w:val="0"/>
      <w:marTop w:val="0"/>
      <w:marBottom w:val="0"/>
      <w:divBdr>
        <w:top w:val="none" w:sz="0" w:space="0" w:color="auto"/>
        <w:left w:val="none" w:sz="0" w:space="0" w:color="auto"/>
        <w:bottom w:val="none" w:sz="0" w:space="0" w:color="auto"/>
        <w:right w:val="none" w:sz="0" w:space="0" w:color="auto"/>
      </w:divBdr>
    </w:div>
    <w:div w:id="1944995723">
      <w:bodyDiv w:val="1"/>
      <w:marLeft w:val="0"/>
      <w:marRight w:val="0"/>
      <w:marTop w:val="0"/>
      <w:marBottom w:val="0"/>
      <w:divBdr>
        <w:top w:val="none" w:sz="0" w:space="0" w:color="auto"/>
        <w:left w:val="none" w:sz="0" w:space="0" w:color="auto"/>
        <w:bottom w:val="none" w:sz="0" w:space="0" w:color="auto"/>
        <w:right w:val="none" w:sz="0" w:space="0" w:color="auto"/>
      </w:divBdr>
    </w:div>
    <w:div w:id="1953781801">
      <w:bodyDiv w:val="1"/>
      <w:marLeft w:val="0"/>
      <w:marRight w:val="0"/>
      <w:marTop w:val="0"/>
      <w:marBottom w:val="0"/>
      <w:divBdr>
        <w:top w:val="none" w:sz="0" w:space="0" w:color="auto"/>
        <w:left w:val="none" w:sz="0" w:space="0" w:color="auto"/>
        <w:bottom w:val="none" w:sz="0" w:space="0" w:color="auto"/>
        <w:right w:val="none" w:sz="0" w:space="0" w:color="auto"/>
      </w:divBdr>
    </w:div>
    <w:div w:id="1971743212">
      <w:bodyDiv w:val="1"/>
      <w:marLeft w:val="0"/>
      <w:marRight w:val="0"/>
      <w:marTop w:val="0"/>
      <w:marBottom w:val="0"/>
      <w:divBdr>
        <w:top w:val="none" w:sz="0" w:space="0" w:color="auto"/>
        <w:left w:val="none" w:sz="0" w:space="0" w:color="auto"/>
        <w:bottom w:val="none" w:sz="0" w:space="0" w:color="auto"/>
        <w:right w:val="none" w:sz="0" w:space="0" w:color="auto"/>
      </w:divBdr>
    </w:div>
    <w:div w:id="1971933131">
      <w:bodyDiv w:val="1"/>
      <w:marLeft w:val="0"/>
      <w:marRight w:val="0"/>
      <w:marTop w:val="0"/>
      <w:marBottom w:val="0"/>
      <w:divBdr>
        <w:top w:val="none" w:sz="0" w:space="0" w:color="auto"/>
        <w:left w:val="none" w:sz="0" w:space="0" w:color="auto"/>
        <w:bottom w:val="none" w:sz="0" w:space="0" w:color="auto"/>
        <w:right w:val="none" w:sz="0" w:space="0" w:color="auto"/>
      </w:divBdr>
    </w:div>
    <w:div w:id="1986350463">
      <w:bodyDiv w:val="1"/>
      <w:marLeft w:val="0"/>
      <w:marRight w:val="0"/>
      <w:marTop w:val="0"/>
      <w:marBottom w:val="0"/>
      <w:divBdr>
        <w:top w:val="none" w:sz="0" w:space="0" w:color="auto"/>
        <w:left w:val="none" w:sz="0" w:space="0" w:color="auto"/>
        <w:bottom w:val="none" w:sz="0" w:space="0" w:color="auto"/>
        <w:right w:val="none" w:sz="0" w:space="0" w:color="auto"/>
      </w:divBdr>
    </w:div>
    <w:div w:id="1988046221">
      <w:bodyDiv w:val="1"/>
      <w:marLeft w:val="0"/>
      <w:marRight w:val="0"/>
      <w:marTop w:val="0"/>
      <w:marBottom w:val="0"/>
      <w:divBdr>
        <w:top w:val="none" w:sz="0" w:space="0" w:color="auto"/>
        <w:left w:val="none" w:sz="0" w:space="0" w:color="auto"/>
        <w:bottom w:val="none" w:sz="0" w:space="0" w:color="auto"/>
        <w:right w:val="none" w:sz="0" w:space="0" w:color="auto"/>
      </w:divBdr>
    </w:div>
    <w:div w:id="1998848395">
      <w:bodyDiv w:val="1"/>
      <w:marLeft w:val="0"/>
      <w:marRight w:val="0"/>
      <w:marTop w:val="0"/>
      <w:marBottom w:val="0"/>
      <w:divBdr>
        <w:top w:val="none" w:sz="0" w:space="0" w:color="auto"/>
        <w:left w:val="none" w:sz="0" w:space="0" w:color="auto"/>
        <w:bottom w:val="none" w:sz="0" w:space="0" w:color="auto"/>
        <w:right w:val="none" w:sz="0" w:space="0" w:color="auto"/>
      </w:divBdr>
    </w:div>
    <w:div w:id="2000763861">
      <w:bodyDiv w:val="1"/>
      <w:marLeft w:val="0"/>
      <w:marRight w:val="0"/>
      <w:marTop w:val="0"/>
      <w:marBottom w:val="0"/>
      <w:divBdr>
        <w:top w:val="none" w:sz="0" w:space="0" w:color="auto"/>
        <w:left w:val="none" w:sz="0" w:space="0" w:color="auto"/>
        <w:bottom w:val="none" w:sz="0" w:space="0" w:color="auto"/>
        <w:right w:val="none" w:sz="0" w:space="0" w:color="auto"/>
      </w:divBdr>
    </w:div>
    <w:div w:id="2002657488">
      <w:bodyDiv w:val="1"/>
      <w:marLeft w:val="0"/>
      <w:marRight w:val="0"/>
      <w:marTop w:val="0"/>
      <w:marBottom w:val="0"/>
      <w:divBdr>
        <w:top w:val="none" w:sz="0" w:space="0" w:color="auto"/>
        <w:left w:val="none" w:sz="0" w:space="0" w:color="auto"/>
        <w:bottom w:val="none" w:sz="0" w:space="0" w:color="auto"/>
        <w:right w:val="none" w:sz="0" w:space="0" w:color="auto"/>
      </w:divBdr>
    </w:div>
    <w:div w:id="2010598136">
      <w:bodyDiv w:val="1"/>
      <w:marLeft w:val="0"/>
      <w:marRight w:val="0"/>
      <w:marTop w:val="0"/>
      <w:marBottom w:val="0"/>
      <w:divBdr>
        <w:top w:val="none" w:sz="0" w:space="0" w:color="auto"/>
        <w:left w:val="none" w:sz="0" w:space="0" w:color="auto"/>
        <w:bottom w:val="none" w:sz="0" w:space="0" w:color="auto"/>
        <w:right w:val="none" w:sz="0" w:space="0" w:color="auto"/>
      </w:divBdr>
    </w:div>
    <w:div w:id="2020696825">
      <w:bodyDiv w:val="1"/>
      <w:marLeft w:val="0"/>
      <w:marRight w:val="0"/>
      <w:marTop w:val="0"/>
      <w:marBottom w:val="0"/>
      <w:divBdr>
        <w:top w:val="none" w:sz="0" w:space="0" w:color="auto"/>
        <w:left w:val="none" w:sz="0" w:space="0" w:color="auto"/>
        <w:bottom w:val="none" w:sz="0" w:space="0" w:color="auto"/>
        <w:right w:val="none" w:sz="0" w:space="0" w:color="auto"/>
      </w:divBdr>
    </w:div>
    <w:div w:id="2029092734">
      <w:bodyDiv w:val="1"/>
      <w:marLeft w:val="0"/>
      <w:marRight w:val="0"/>
      <w:marTop w:val="0"/>
      <w:marBottom w:val="0"/>
      <w:divBdr>
        <w:top w:val="none" w:sz="0" w:space="0" w:color="auto"/>
        <w:left w:val="none" w:sz="0" w:space="0" w:color="auto"/>
        <w:bottom w:val="none" w:sz="0" w:space="0" w:color="auto"/>
        <w:right w:val="none" w:sz="0" w:space="0" w:color="auto"/>
      </w:divBdr>
    </w:div>
    <w:div w:id="2035224111">
      <w:bodyDiv w:val="1"/>
      <w:marLeft w:val="0"/>
      <w:marRight w:val="0"/>
      <w:marTop w:val="0"/>
      <w:marBottom w:val="0"/>
      <w:divBdr>
        <w:top w:val="none" w:sz="0" w:space="0" w:color="auto"/>
        <w:left w:val="none" w:sz="0" w:space="0" w:color="auto"/>
        <w:bottom w:val="none" w:sz="0" w:space="0" w:color="auto"/>
        <w:right w:val="none" w:sz="0" w:space="0" w:color="auto"/>
      </w:divBdr>
    </w:div>
    <w:div w:id="2039234356">
      <w:bodyDiv w:val="1"/>
      <w:marLeft w:val="0"/>
      <w:marRight w:val="0"/>
      <w:marTop w:val="0"/>
      <w:marBottom w:val="0"/>
      <w:divBdr>
        <w:top w:val="none" w:sz="0" w:space="0" w:color="auto"/>
        <w:left w:val="none" w:sz="0" w:space="0" w:color="auto"/>
        <w:bottom w:val="none" w:sz="0" w:space="0" w:color="auto"/>
        <w:right w:val="none" w:sz="0" w:space="0" w:color="auto"/>
      </w:divBdr>
    </w:div>
    <w:div w:id="2048217972">
      <w:bodyDiv w:val="1"/>
      <w:marLeft w:val="0"/>
      <w:marRight w:val="0"/>
      <w:marTop w:val="0"/>
      <w:marBottom w:val="0"/>
      <w:divBdr>
        <w:top w:val="none" w:sz="0" w:space="0" w:color="auto"/>
        <w:left w:val="none" w:sz="0" w:space="0" w:color="auto"/>
        <w:bottom w:val="none" w:sz="0" w:space="0" w:color="auto"/>
        <w:right w:val="none" w:sz="0" w:space="0" w:color="auto"/>
      </w:divBdr>
    </w:div>
    <w:div w:id="2072654215">
      <w:bodyDiv w:val="1"/>
      <w:marLeft w:val="0"/>
      <w:marRight w:val="0"/>
      <w:marTop w:val="0"/>
      <w:marBottom w:val="0"/>
      <w:divBdr>
        <w:top w:val="none" w:sz="0" w:space="0" w:color="auto"/>
        <w:left w:val="none" w:sz="0" w:space="0" w:color="auto"/>
        <w:bottom w:val="none" w:sz="0" w:space="0" w:color="auto"/>
        <w:right w:val="none" w:sz="0" w:space="0" w:color="auto"/>
      </w:divBdr>
    </w:div>
    <w:div w:id="2089762049">
      <w:bodyDiv w:val="1"/>
      <w:marLeft w:val="0"/>
      <w:marRight w:val="0"/>
      <w:marTop w:val="0"/>
      <w:marBottom w:val="0"/>
      <w:divBdr>
        <w:top w:val="none" w:sz="0" w:space="0" w:color="auto"/>
        <w:left w:val="none" w:sz="0" w:space="0" w:color="auto"/>
        <w:bottom w:val="none" w:sz="0" w:space="0" w:color="auto"/>
        <w:right w:val="none" w:sz="0" w:space="0" w:color="auto"/>
      </w:divBdr>
    </w:div>
    <w:div w:id="2102406827">
      <w:bodyDiv w:val="1"/>
      <w:marLeft w:val="0"/>
      <w:marRight w:val="0"/>
      <w:marTop w:val="0"/>
      <w:marBottom w:val="0"/>
      <w:divBdr>
        <w:top w:val="none" w:sz="0" w:space="0" w:color="auto"/>
        <w:left w:val="none" w:sz="0" w:space="0" w:color="auto"/>
        <w:bottom w:val="none" w:sz="0" w:space="0" w:color="auto"/>
        <w:right w:val="none" w:sz="0" w:space="0" w:color="auto"/>
      </w:divBdr>
    </w:div>
    <w:div w:id="2105303262">
      <w:bodyDiv w:val="1"/>
      <w:marLeft w:val="0"/>
      <w:marRight w:val="0"/>
      <w:marTop w:val="0"/>
      <w:marBottom w:val="0"/>
      <w:divBdr>
        <w:top w:val="none" w:sz="0" w:space="0" w:color="auto"/>
        <w:left w:val="none" w:sz="0" w:space="0" w:color="auto"/>
        <w:bottom w:val="none" w:sz="0" w:space="0" w:color="auto"/>
        <w:right w:val="none" w:sz="0" w:space="0" w:color="auto"/>
      </w:divBdr>
    </w:div>
    <w:div w:id="2109111626">
      <w:bodyDiv w:val="1"/>
      <w:marLeft w:val="0"/>
      <w:marRight w:val="0"/>
      <w:marTop w:val="0"/>
      <w:marBottom w:val="0"/>
      <w:divBdr>
        <w:top w:val="none" w:sz="0" w:space="0" w:color="auto"/>
        <w:left w:val="none" w:sz="0" w:space="0" w:color="auto"/>
        <w:bottom w:val="none" w:sz="0" w:space="0" w:color="auto"/>
        <w:right w:val="none" w:sz="0" w:space="0" w:color="auto"/>
      </w:divBdr>
    </w:div>
    <w:div w:id="2111392505">
      <w:bodyDiv w:val="1"/>
      <w:marLeft w:val="0"/>
      <w:marRight w:val="0"/>
      <w:marTop w:val="0"/>
      <w:marBottom w:val="0"/>
      <w:divBdr>
        <w:top w:val="none" w:sz="0" w:space="0" w:color="auto"/>
        <w:left w:val="none" w:sz="0" w:space="0" w:color="auto"/>
        <w:bottom w:val="none" w:sz="0" w:space="0" w:color="auto"/>
        <w:right w:val="none" w:sz="0" w:space="0" w:color="auto"/>
      </w:divBdr>
    </w:div>
    <w:div w:id="21429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theice.com/iba/lib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bccr.fi.cr/seccion-indicadores-economicos/tasas-de-inter&#233;s"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ccr.fi.cr" TargetMode="External"/><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image" Target="media/image18.emf"/><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A+RsvyGejSVN2kX6iKSq5iui/IWbg8YTrR4Gb19g9oc=</DigestValue>
    </Reference>
    <Reference Type="http://www.w3.org/2000/09/xmldsig#Object" URI="#idOfficeObject">
      <DigestMethod Algorithm="http://www.w3.org/2001/04/xmlenc#sha256"/>
      <DigestValue>KSw+oP8kyqdWUCuMGXvFOYPkoLCx8s4A2rhW4tCQp2M=</DigestValue>
    </Reference>
    <Reference Type="http://uri.etsi.org/01903#SignedProperties" URI="#idSignedProperties">
      <Transforms>
        <Transform Algorithm="http://www.w3.org/TR/2001/REC-xml-c14n-20010315"/>
      </Transforms>
      <DigestMethod Algorithm="http://www.w3.org/2001/04/xmlenc#sha256"/>
      <DigestValue>BouEbShb/eyZTU94MZSI5v7koJr9jpz4ysF5JdmKKII=</DigestValue>
    </Reference>
  </SignedInfo>
  <SignatureValue>XZMafcFgA8yfTI4H3JDLuKENpihFc+M7WPzJ1431q1eYOPzSRDUb5hPOBlVIAph1ZoimyE1yR43z
L/p6FTyJdW8OJ1a5SUlhdGWEiPBx7/3qecICfrYcclmrYjdve915lJ+R+9+XnI2IQEXZLqdJMunZ
00n7+9SKZiTuSHaM7f4SbwcwX8jQwM9I/MAm1HoiaFlHz8oOxv7CNeZgIsduauzvd+2+65LBCYi1
10qZcdkEACH6TOyZbHVednEeo8m7V8qUwdVd8sKBURlfC/UseHyXHemOBjLUySCMbctyMdGaPzVB
ggJ1ADCSPAFp2kGhKaewdnMu50/t2ZwwtmCPaw==</SignatureValue>
  <KeyInfo>
    <X509Data>
      <X509Certificate>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6Bu9dBkG8klXed/qJxhxiprFx8cOSKiqp4bDJmX8h3+DZq54NGGkpMgraktLolRF8HiMTZ67Kck5A7aKYrDDgmNzoydod0vPg+Ueh+9LMMvs3mGKoyWKs9cssp/qBxr1LYBDb7a7guoEwILDrenGGXeSAecd0dyHoMOvPWwDDzX7h2/FszTNxZNl6XHX3aGOzmuJGDjoflZ8bSrf54Ak3aTUsM/8oBPafwZafkvdwpRasktJB9Htj5Ns3dlWUCGCt9ts18ZgDLeUmPAk2HRJbH25TrzXgI5ATdGeP0J089aXo8CJOs019hfvJAxj7wE/ausU3gaDYxFrtgR47jQR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y3DD1iVumZ79dANzfJR29bzc6nem7G6aiM2MulWu5F4=</DigestValue>
      </Reference>
      <Reference URI="/docMetadata/LabelInfo.xml?ContentType=application/vnd.ms-office.classificationlabels+xml">
        <DigestMethod Algorithm="http://www.w3.org/2001/04/xmlenc#sha256"/>
        <DigestValue>f+qSEqRo+BMcaqy4JuDtfyT7E4LVFb7Z3L3EmCk8rRw=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VdlxTo4HHVOD98VWUmxeGFZ3laI3/t3X8oVkd2p7swk=</DigestValue>
      </Reference>
      <Reference URI="/word/document.xml?ContentType=application/vnd.openxmlformats-officedocument.wordprocessingml.document.main+xml">
        <DigestMethod Algorithm="http://www.w3.org/2001/04/xmlenc#sha256"/>
        <DigestValue>tHeSu3PSIc1GZmao5zC8gjvRr8P3yXZC3n8hQMF5Cos=</DigestValue>
      </Reference>
      <Reference URI="/word/endnotes.xml?ContentType=application/vnd.openxmlformats-officedocument.wordprocessingml.endnotes+xml">
        <DigestMethod Algorithm="http://www.w3.org/2001/04/xmlenc#sha256"/>
        <DigestValue>NLbBVuj2ilyUvGg2T2OEsGy8w9A4e4uSw3qt8paLaMM=</DigestValue>
      </Reference>
      <Reference URI="/word/fontTable.xml?ContentType=application/vnd.openxmlformats-officedocument.wordprocessingml.fontTable+xml">
        <DigestMethod Algorithm="http://www.w3.org/2001/04/xmlenc#sha256"/>
        <DigestValue>N7R68zbCgKgdBNDEWDDlH6dn+VPQpsdDGWntuscLUyM=</DigestValue>
      </Reference>
      <Reference URI="/word/footer1.xml?ContentType=application/vnd.openxmlformats-officedocument.wordprocessingml.footer+xml">
        <DigestMethod Algorithm="http://www.w3.org/2001/04/xmlenc#sha256"/>
        <DigestValue>+NtCBctBUvypwS9s4xa1M+dy/dJOOtZLPJf00C7KeKQ=</DigestValue>
      </Reference>
      <Reference URI="/word/footer2.xml?ContentType=application/vnd.openxmlformats-officedocument.wordprocessingml.footer+xml">
        <DigestMethod Algorithm="http://www.w3.org/2001/04/xmlenc#sha256"/>
        <DigestValue>AR6t5w4nOv1ntX0zqK3/Zd1jLG0IijkCEpvsS+zUKaM=</DigestValue>
      </Reference>
      <Reference URI="/word/footnotes.xml?ContentType=application/vnd.openxmlformats-officedocument.wordprocessingml.footnotes+xml">
        <DigestMethod Algorithm="http://www.w3.org/2001/04/xmlenc#sha256"/>
        <DigestValue>Z6Fm/re1/5z6yIMRXb/JAF0Rf8gMnCNNp48pWlfT1XY=</DigestValue>
      </Reference>
      <Reference URI="/word/header1.xml?ContentType=application/vnd.openxmlformats-officedocument.wordprocessingml.header+xml">
        <DigestMethod Algorithm="http://www.w3.org/2001/04/xmlenc#sha256"/>
        <DigestValue>ibC8AA5wnUYveHDIW560K+cWbziJv6b0Ff/E+SfnYho=</DigestValue>
      </Reference>
      <Reference URI="/word/media/image1.jpeg?ContentType=image/jpeg">
        <DigestMethod Algorithm="http://www.w3.org/2001/04/xmlenc#sha256"/>
        <DigestValue>442H5c5Dtfj3eVZ1OoJhPcsQqTlSZHW3TJvHukIoqlM=</DigestValue>
      </Reference>
      <Reference URI="/word/media/image10.png?ContentType=image/png">
        <DigestMethod Algorithm="http://www.w3.org/2001/04/xmlenc#sha256"/>
        <DigestValue>XH3UPQ3kEcOVWP3NIcBGAoReeshLHTVw1E4p3nHzu1I=</DigestValue>
      </Reference>
      <Reference URI="/word/media/image11.png?ContentType=image/png">
        <DigestMethod Algorithm="http://www.w3.org/2001/04/xmlenc#sha256"/>
        <DigestValue>HQrBqP6LMqfu56gyYk0aAeBrTGuaHKQA7A4lVqKQDq8=</DigestValue>
      </Reference>
      <Reference URI="/word/media/image12.emf?ContentType=image/x-emf">
        <DigestMethod Algorithm="http://www.w3.org/2001/04/xmlenc#sha256"/>
        <DigestValue>MGf0bIuVs55q67vivLaU+MTSSeAvURVMLphtL2EZnJ8=</DigestValue>
      </Reference>
      <Reference URI="/word/media/image13.png?ContentType=image/png">
        <DigestMethod Algorithm="http://www.w3.org/2001/04/xmlenc#sha256"/>
        <DigestValue>TEuUpnW/XlY+mfAMsWsXT8/Xp1QBr/N3Iv5cXRK5s5Y=</DigestValue>
      </Reference>
      <Reference URI="/word/media/image14.png?ContentType=image/png">
        <DigestMethod Algorithm="http://www.w3.org/2001/04/xmlenc#sha256"/>
        <DigestValue>bKjHjwV7FP7T7j7SIoLLP2QzcRnxqTpM4v60orvkkhA=</DigestValue>
      </Reference>
      <Reference URI="/word/media/image15.emf?ContentType=image/x-emf">
        <DigestMethod Algorithm="http://www.w3.org/2001/04/xmlenc#sha256"/>
        <DigestValue>UqS5doXexbEA9Gqg53wCiA5xhaeULJoa1vjflYXWS/A=</DigestValue>
      </Reference>
      <Reference URI="/word/media/image16.png?ContentType=image/png">
        <DigestMethod Algorithm="http://www.w3.org/2001/04/xmlenc#sha256"/>
        <DigestValue>ZMslDsyOj6EU1gvSc5XDgxZmfoLGy4K80zNSvzr2iww=</DigestValue>
      </Reference>
      <Reference URI="/word/media/image17.png?ContentType=image/png">
        <DigestMethod Algorithm="http://www.w3.org/2001/04/xmlenc#sha256"/>
        <DigestValue>jjZWZmg84yOL3C110QDlTH0JZhqGm2jjLTdFF1id17s=</DigestValue>
      </Reference>
      <Reference URI="/word/media/image18.emf?ContentType=image/x-emf">
        <DigestMethod Algorithm="http://www.w3.org/2001/04/xmlenc#sha256"/>
        <DigestValue>q5crpW6aJeKU28r3K5rHQh55uw1axgOyzKZKa3H3ux4=</DigestValue>
      </Reference>
      <Reference URI="/word/media/image19.emf?ContentType=image/x-emf">
        <DigestMethod Algorithm="http://www.w3.org/2001/04/xmlenc#sha256"/>
        <DigestValue>tvGFPQssR5VZEfqdugdxUoLsIWF2T/WylC3r4xToDzY=</DigestValue>
      </Reference>
      <Reference URI="/word/media/image2.jpeg?ContentType=image/jpeg">
        <DigestMethod Algorithm="http://www.w3.org/2001/04/xmlenc#sha256"/>
        <DigestValue>csusLvblLUxX//aT29cgO2NHCl62dy94uL1zJ9G3sRI=</DigestValue>
      </Reference>
      <Reference URI="/word/media/image3.jpeg?ContentType=image/jpeg">
        <DigestMethod Algorithm="http://www.w3.org/2001/04/xmlenc#sha256"/>
        <DigestValue>VnDqcWtm42dzUsVAyU5Yz4+w13thG3Khod8cy+gWWAA=</DigestValue>
      </Reference>
      <Reference URI="/word/media/image4.png?ContentType=image/png">
        <DigestMethod Algorithm="http://www.w3.org/2001/04/xmlenc#sha256"/>
        <DigestValue>JgtBJjT9qHYoV8+pU74mXBUEWfJ9/X/P/U5zS7O0EXQ=</DigestValue>
      </Reference>
      <Reference URI="/word/media/image5.png?ContentType=image/png">
        <DigestMethod Algorithm="http://www.w3.org/2001/04/xmlenc#sha256"/>
        <DigestValue>niO9Q7KpFY1UbxbKLJZTbBVOClGWLVJQvHwVJ6Sqdns=</DigestValue>
      </Reference>
      <Reference URI="/word/media/image6.png?ContentType=image/png">
        <DigestMethod Algorithm="http://www.w3.org/2001/04/xmlenc#sha256"/>
        <DigestValue>Bwh7WBoKIg1WHeqvaDHFbfdfLxVgjjw4ZD4baYFZBlU=</DigestValue>
      </Reference>
      <Reference URI="/word/media/image7.png?ContentType=image/png">
        <DigestMethod Algorithm="http://www.w3.org/2001/04/xmlenc#sha256"/>
        <DigestValue>PbyGqX7lJwZK/z8jdY8WMOkyfFk7UNzoFPQ+ofzmq3U=</DigestValue>
      </Reference>
      <Reference URI="/word/media/image8.png?ContentType=image/png">
        <DigestMethod Algorithm="http://www.w3.org/2001/04/xmlenc#sha256"/>
        <DigestValue>woWmF0A+l/72+Ais4ec45nmI2dInQ0RRnE8pwHPXMUA=</DigestValue>
      </Reference>
      <Reference URI="/word/media/image9.jpeg?ContentType=image/jpeg">
        <DigestMethod Algorithm="http://www.w3.org/2001/04/xmlenc#sha256"/>
        <DigestValue>Kk4c+oejkiaVqKusO5k02qxOdyEavVAra7+g8e96UGc=</DigestValue>
      </Reference>
      <Reference URI="/word/numbering.xml?ContentType=application/vnd.openxmlformats-officedocument.wordprocessingml.numbering+xml">
        <DigestMethod Algorithm="http://www.w3.org/2001/04/xmlenc#sha256"/>
        <DigestValue>uYcRGWwnYmJAP7WUY7KN6Yn0/7MKyHG9uRxhY2985qU=</DigestValue>
      </Reference>
      <Reference URI="/word/settings.xml?ContentType=application/vnd.openxmlformats-officedocument.wordprocessingml.settings+xml">
        <DigestMethod Algorithm="http://www.w3.org/2001/04/xmlenc#sha256"/>
        <DigestValue>JHOV7ycjGjmqnZGLCnUf3/fdxZIeHA4U8RQIB3rOqGQ=</DigestValue>
      </Reference>
      <Reference URI="/word/styles.xml?ContentType=application/vnd.openxmlformats-officedocument.wordprocessingml.styles+xml">
        <DigestMethod Algorithm="http://www.w3.org/2001/04/xmlenc#sha256"/>
        <DigestValue>v3FBJcyanE+pbIBqpxZOaZAWIsoD6UDT+mbYyFmTx0k=</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inHVsBRT/S8K1pJlBh9NYvPkhRw4dwAwRWCn3jShnmo=</DigestValue>
      </Reference>
    </Manifest>
    <SignatureProperties>
      <SignatureProperty Id="idSignatureTime" Target="#idPackageSignature">
        <mdssi:SignatureTime xmlns:mdssi="http://schemas.openxmlformats.org/package/2006/digital-signature">
          <mdssi:Format>YYYY-MM-DDThh:mm:ssTZD</mdssi:Format>
          <mdssi:Value>2023-12-21T17:34:37Z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Prospecto de Inversión ICE</SignatureComments>
          <WindowsVersion>10.0</WindowsVersion>
          <OfficeVersion>16.0.16924/26</OfficeVersion>
          <ApplicationVersion>16.0.16924</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2023-12-21T17:34:37Z</xd:SigningTime>
          <xd:SigningCertificate>
            <xd:Cert>
              <xd:CertDigest>
                <DigestMethod Algorithm="http://www.w3.org/2001/04/xmlenc#sha256"/>
                <DigestValue>XWsGDG2v24LtnKpythNGaNXOFysVZt7VI/JBM3zL5hg=</DigestValue>
              </xd:CertDigest>
              <xd:IssuerSerial>
                <X509IssuerName>CN=CA SINPE - PERSONA FISICA v2, OU=DIVISION SISTEMAS DE PAGO, O=BANCO CENTRAL DE COSTA RICA, C=CR, SERIALNUMBER=CPJ-4-000-004017</X509IssuerName>
                <X509SerialNumber>446019059296866413974191210645005918876218910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H0Uj8PUQ9mX0acMkGOaCbC/sIES8ZHDsBPacfYFAJwCBBgkbj0YDzIwMjMxMjIxMTczN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TC3VazVMAfyDkVa6lTO3mmhpc0A=</xd:ByKey>
                  </xd:ResponderID>
                  <xd:ProducedAt>2023-12-21T17:34:22Z</xd:ProducedAt>
                </xd:OCSPIdentifier>
                <xd:DigestAlgAndValue>
                  <DigestMethod Algorithm="http://www.w3.org/2001/04/xmlenc#sha256"/>
                  <DigestValue>Cca8cBgY1hB88qYKBeFnshihoXg2BKaXSGaErO0chBY=</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K16+HrIlJoaT2qmQzlXxXJZ3MbaxoEcTNyMFAQUaBQCBBgkbj8YDzIwMjMxMjIxMTczN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267E-3237-4884-9007-415D6ADE93FD}">
  <ds:schemaRefs>
    <ds:schemaRef ds:uri="http://schemas.openxmlformats.org/officeDocument/2006/bibliography"/>
  </ds:schemaRefs>
</ds:datastoreItem>
</file>

<file path=docMetadata/LabelInfo.xml><?xml version="1.0" encoding="utf-8"?>
<clbl:labelList xmlns:clbl="http://schemas.microsoft.com/office/2020/mipLabelMetadata">
  <clbl:label id="{c7db7d26-61fa-458e-b725-4336ee8fcad0}" enabled="0" method="" siteId="{c7db7d26-61fa-458e-b725-4336ee8fcad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34774</Words>
  <Characters>191262</Characters>
  <Application>Microsoft Office Word</Application>
  <DocSecurity>0</DocSecurity>
  <Lines>1593</Lines>
  <Paragraphs>451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BCCR</Company>
  <LinksUpToDate>false</LinksUpToDate>
  <CharactersWithSpaces>225585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SUGEVAL</dc:creator>
  <cp:keywords/>
  <dc:description/>
  <cp:lastModifiedBy>Arce Guerrero Keiner</cp:lastModifiedBy>
  <cp:revision>2</cp:revision>
  <cp:lastPrinted>2019-10-29T15:56:00Z</cp:lastPrinted>
  <dcterms:created xsi:type="dcterms:W3CDTF">2023-12-21T17:31:00Z</dcterms:created>
  <dcterms:modified xsi:type="dcterms:W3CDTF">2023-12-21T17:31:00Z</dcterms:modified>
</cp:coreProperties>
</file>